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E7B" w:rsidRDefault="00D77E7B" w:rsidP="00A86746">
      <w:pPr>
        <w:pStyle w:val="BodyText"/>
        <w:rPr>
          <w:rFonts w:ascii="Arial" w:hAnsi="Arial"/>
          <w:b/>
          <w:sz w:val="32"/>
          <w:szCs w:val="32"/>
        </w:rPr>
      </w:pPr>
    </w:p>
    <w:p w:rsidR="00D77E7B" w:rsidRDefault="00D77E7B" w:rsidP="00A86746">
      <w:pPr>
        <w:pStyle w:val="BodyText"/>
        <w:rPr>
          <w:rFonts w:ascii="Arial" w:hAnsi="Arial"/>
          <w:b/>
          <w:sz w:val="32"/>
          <w:szCs w:val="32"/>
        </w:rPr>
      </w:pPr>
    </w:p>
    <w:p w:rsidR="00D77E7B" w:rsidRPr="008816D0" w:rsidRDefault="00D77E7B" w:rsidP="00A86746">
      <w:pPr>
        <w:pStyle w:val="BodyText"/>
        <w:rPr>
          <w:rFonts w:ascii="Arial" w:hAnsi="Arial"/>
          <w:b/>
          <w:sz w:val="32"/>
          <w:szCs w:val="32"/>
        </w:rPr>
      </w:pPr>
      <w:r w:rsidRPr="008816D0">
        <w:rPr>
          <w:rFonts w:ascii="Arial" w:hAnsi="Arial"/>
          <w:b/>
          <w:sz w:val="32"/>
          <w:szCs w:val="32"/>
        </w:rPr>
        <w:t>Lancashire</w:t>
      </w:r>
      <w:r>
        <w:rPr>
          <w:rFonts w:ascii="Arial" w:hAnsi="Arial"/>
          <w:b/>
          <w:sz w:val="32"/>
          <w:szCs w:val="32"/>
        </w:rPr>
        <w:t xml:space="preserve"> Pension Fund</w:t>
      </w:r>
    </w:p>
    <w:p w:rsidR="00A5548F" w:rsidRDefault="00D77E7B" w:rsidP="00A86746">
      <w:pPr>
        <w:pStyle w:val="BodyText"/>
        <w:rPr>
          <w:rFonts w:ascii="Arial" w:hAnsi="Arial"/>
          <w:b/>
          <w:sz w:val="32"/>
          <w:szCs w:val="32"/>
        </w:rPr>
      </w:pPr>
      <w:r w:rsidRPr="008816D0">
        <w:rPr>
          <w:rFonts w:ascii="Arial" w:hAnsi="Arial"/>
          <w:b/>
          <w:sz w:val="32"/>
          <w:szCs w:val="32"/>
        </w:rPr>
        <w:t>Internal Audit Service</w:t>
      </w:r>
      <w:r w:rsidR="000F1C56">
        <w:rPr>
          <w:rFonts w:ascii="Arial" w:hAnsi="Arial"/>
          <w:b/>
          <w:sz w:val="32"/>
          <w:szCs w:val="32"/>
        </w:rPr>
        <w:t xml:space="preserve"> a</w:t>
      </w:r>
      <w:r w:rsidRPr="008816D0">
        <w:rPr>
          <w:rFonts w:ascii="Arial" w:hAnsi="Arial"/>
          <w:b/>
          <w:sz w:val="32"/>
          <w:szCs w:val="32"/>
        </w:rPr>
        <w:t>nnual report</w:t>
      </w:r>
      <w:r>
        <w:rPr>
          <w:rFonts w:ascii="Arial" w:hAnsi="Arial"/>
          <w:b/>
          <w:sz w:val="32"/>
          <w:szCs w:val="32"/>
        </w:rPr>
        <w:t xml:space="preserve"> for </w:t>
      </w:r>
      <w:r w:rsidR="000F1C56">
        <w:rPr>
          <w:rFonts w:ascii="Arial" w:hAnsi="Arial"/>
          <w:b/>
          <w:sz w:val="32"/>
          <w:szCs w:val="32"/>
        </w:rPr>
        <w:t>2015/</w:t>
      </w:r>
      <w:r>
        <w:rPr>
          <w:rFonts w:ascii="Arial" w:hAnsi="Arial"/>
          <w:b/>
          <w:sz w:val="32"/>
          <w:szCs w:val="32"/>
        </w:rPr>
        <w:t xml:space="preserve"> 201</w:t>
      </w:r>
      <w:r w:rsidR="00C8186A">
        <w:rPr>
          <w:rFonts w:ascii="Arial" w:hAnsi="Arial"/>
          <w:b/>
          <w:sz w:val="32"/>
          <w:szCs w:val="32"/>
        </w:rPr>
        <w:t>4</w:t>
      </w:r>
      <w:r w:rsidR="000F1C56">
        <w:rPr>
          <w:rFonts w:ascii="Arial" w:hAnsi="Arial"/>
          <w:b/>
          <w:sz w:val="32"/>
          <w:szCs w:val="32"/>
        </w:rPr>
        <w:t xml:space="preserve"> and</w:t>
      </w:r>
      <w:r w:rsidR="00A5548F">
        <w:rPr>
          <w:rFonts w:ascii="Arial" w:hAnsi="Arial"/>
          <w:b/>
          <w:sz w:val="32"/>
          <w:szCs w:val="32"/>
        </w:rPr>
        <w:t xml:space="preserve"> </w:t>
      </w:r>
      <w:r w:rsidR="000F1C56">
        <w:rPr>
          <w:rFonts w:ascii="Arial" w:hAnsi="Arial"/>
          <w:b/>
          <w:sz w:val="32"/>
          <w:szCs w:val="32"/>
        </w:rPr>
        <w:t xml:space="preserve">annual </w:t>
      </w:r>
      <w:r w:rsidR="00A5548F">
        <w:rPr>
          <w:rFonts w:ascii="Arial" w:hAnsi="Arial"/>
          <w:b/>
          <w:sz w:val="32"/>
          <w:szCs w:val="32"/>
        </w:rPr>
        <w:t xml:space="preserve">plan </w:t>
      </w:r>
      <w:r w:rsidR="000F1C56">
        <w:rPr>
          <w:rFonts w:ascii="Arial" w:hAnsi="Arial"/>
          <w:b/>
          <w:sz w:val="32"/>
          <w:szCs w:val="32"/>
        </w:rPr>
        <w:t xml:space="preserve">for </w:t>
      </w:r>
      <w:r w:rsidR="00A5548F">
        <w:rPr>
          <w:rFonts w:ascii="Arial" w:hAnsi="Arial"/>
          <w:b/>
          <w:sz w:val="32"/>
          <w:szCs w:val="32"/>
        </w:rPr>
        <w:t>201</w:t>
      </w:r>
      <w:r w:rsidR="00C8186A">
        <w:rPr>
          <w:rFonts w:ascii="Arial" w:hAnsi="Arial"/>
          <w:b/>
          <w:sz w:val="32"/>
          <w:szCs w:val="32"/>
        </w:rPr>
        <w:t>4</w:t>
      </w:r>
      <w:r w:rsidR="00A5548F">
        <w:rPr>
          <w:rFonts w:ascii="Arial" w:hAnsi="Arial"/>
          <w:b/>
          <w:sz w:val="32"/>
          <w:szCs w:val="32"/>
        </w:rPr>
        <w:t>/1</w:t>
      </w:r>
      <w:r w:rsidR="00C8186A">
        <w:rPr>
          <w:rFonts w:ascii="Arial" w:hAnsi="Arial"/>
          <w:b/>
          <w:sz w:val="32"/>
          <w:szCs w:val="32"/>
        </w:rPr>
        <w:t>5</w:t>
      </w:r>
    </w:p>
    <w:p w:rsidR="00D77E7B" w:rsidRDefault="00D77E7B" w:rsidP="00A86746">
      <w:pPr>
        <w:pStyle w:val="BodyText"/>
        <w:rPr>
          <w:rFonts w:ascii="Arial" w:hAnsi="Arial"/>
          <w:b/>
          <w:sz w:val="32"/>
          <w:szCs w:val="32"/>
        </w:rPr>
      </w:pPr>
    </w:p>
    <w:p w:rsidR="00D77E7B" w:rsidRDefault="00D77E7B" w:rsidP="00A86746">
      <w:pPr>
        <w:pStyle w:val="BodyText"/>
        <w:rPr>
          <w:rFonts w:ascii="Arial" w:hAnsi="Arial"/>
          <w:b/>
          <w:sz w:val="32"/>
          <w:szCs w:val="32"/>
        </w:rPr>
      </w:pPr>
    </w:p>
    <w:p w:rsidR="00D77E7B" w:rsidRDefault="00D77E7B" w:rsidP="00A86746">
      <w:pPr>
        <w:pStyle w:val="BodyText"/>
        <w:rPr>
          <w:rFonts w:ascii="Arial" w:hAnsi="Arial"/>
          <w:b/>
          <w:sz w:val="32"/>
          <w:szCs w:val="32"/>
        </w:rPr>
      </w:pPr>
    </w:p>
    <w:p w:rsidR="00D77E7B" w:rsidRDefault="00D77E7B" w:rsidP="00A86746">
      <w:pPr>
        <w:pStyle w:val="BodyText"/>
        <w:rPr>
          <w:rFonts w:ascii="Arial" w:hAnsi="Arial"/>
          <w:b/>
          <w:sz w:val="32"/>
          <w:szCs w:val="32"/>
        </w:rPr>
      </w:pPr>
    </w:p>
    <w:p w:rsidR="00D77E7B" w:rsidRDefault="00D77E7B" w:rsidP="00A86746">
      <w:pPr>
        <w:pStyle w:val="BodyText"/>
        <w:rPr>
          <w:rFonts w:ascii="Arial" w:hAnsi="Arial"/>
          <w:b/>
          <w:sz w:val="32"/>
          <w:szCs w:val="32"/>
        </w:rPr>
      </w:pPr>
      <w:bookmarkStart w:id="0" w:name="_GoBack"/>
      <w:bookmarkEnd w:id="0"/>
    </w:p>
    <w:p w:rsidR="00D77E7B" w:rsidRDefault="00D77E7B" w:rsidP="00A86746">
      <w:pPr>
        <w:pStyle w:val="BodyText"/>
        <w:rPr>
          <w:rFonts w:ascii="Arial" w:hAnsi="Arial"/>
          <w:b/>
          <w:sz w:val="32"/>
          <w:szCs w:val="32"/>
        </w:rPr>
      </w:pPr>
    </w:p>
    <w:p w:rsidR="001E543A" w:rsidRDefault="001E543A" w:rsidP="00A86746">
      <w:pPr>
        <w:pStyle w:val="BodyText"/>
        <w:rPr>
          <w:rFonts w:ascii="Arial" w:hAnsi="Arial"/>
          <w:b/>
          <w:sz w:val="32"/>
          <w:szCs w:val="32"/>
        </w:rPr>
      </w:pPr>
    </w:p>
    <w:p w:rsidR="001E543A" w:rsidRDefault="001E543A" w:rsidP="00A86746">
      <w:pPr>
        <w:pStyle w:val="BodyText"/>
        <w:rPr>
          <w:rFonts w:ascii="Arial" w:hAnsi="Arial"/>
          <w:b/>
          <w:sz w:val="32"/>
          <w:szCs w:val="32"/>
        </w:rPr>
      </w:pPr>
    </w:p>
    <w:p w:rsidR="00D77E7B" w:rsidRDefault="00D77E7B" w:rsidP="00A86746">
      <w:pPr>
        <w:pStyle w:val="BodyText"/>
        <w:rPr>
          <w:rFonts w:ascii="Arial" w:hAnsi="Arial"/>
          <w:b/>
          <w:sz w:val="32"/>
          <w:szCs w:val="32"/>
        </w:rPr>
      </w:pPr>
    </w:p>
    <w:p w:rsidR="00D77E7B" w:rsidRDefault="00D77E7B" w:rsidP="006A62CA">
      <w:pPr>
        <w:pStyle w:val="BodyText"/>
        <w:jc w:val="right"/>
        <w:rPr>
          <w:rFonts w:ascii="Arial" w:hAnsi="Arial"/>
          <w:b/>
          <w:sz w:val="32"/>
          <w:szCs w:val="32"/>
        </w:rPr>
      </w:pPr>
    </w:p>
    <w:p w:rsidR="00D77E7B" w:rsidRDefault="00FC348D" w:rsidP="006A62CA">
      <w:pPr>
        <w:pStyle w:val="BodyText"/>
        <w:ind w:left="4320" w:firstLine="720"/>
        <w:rPr>
          <w:rFonts w:ascii="Arial" w:hAnsi="Arial"/>
          <w:b/>
          <w:sz w:val="32"/>
          <w:szCs w:val="32"/>
        </w:rPr>
      </w:pPr>
      <w:r>
        <w:rPr>
          <w:b/>
          <w:noProof/>
          <w:position w:val="100"/>
          <w:sz w:val="28"/>
          <w:szCs w:val="28"/>
          <w:lang w:eastAsia="en-GB"/>
        </w:rPr>
        <w:drawing>
          <wp:inline distT="0" distB="0" distL="0" distR="0">
            <wp:extent cx="2333625" cy="1162050"/>
            <wp:effectExtent l="19050" t="0" r="9525" b="0"/>
            <wp:docPr id="1" name="Picture 1" descr="LCC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 for A4"/>
                    <pic:cNvPicPr>
                      <a:picLocks noChangeAspect="1" noChangeArrowheads="1"/>
                    </pic:cNvPicPr>
                  </pic:nvPicPr>
                  <pic:blipFill>
                    <a:blip r:embed="rId8"/>
                    <a:srcRect/>
                    <a:stretch>
                      <a:fillRect/>
                    </a:stretch>
                  </pic:blipFill>
                  <pic:spPr bwMode="auto">
                    <a:xfrm>
                      <a:off x="0" y="0"/>
                      <a:ext cx="2333625" cy="1162050"/>
                    </a:xfrm>
                    <a:prstGeom prst="rect">
                      <a:avLst/>
                    </a:prstGeom>
                    <a:noFill/>
                    <a:ln w="9525">
                      <a:noFill/>
                      <a:miter lim="800000"/>
                      <a:headEnd/>
                      <a:tailEnd/>
                    </a:ln>
                  </pic:spPr>
                </pic:pic>
              </a:graphicData>
            </a:graphic>
          </wp:inline>
        </w:drawing>
      </w:r>
    </w:p>
    <w:p w:rsidR="00D77E7B" w:rsidRDefault="00D77E7B" w:rsidP="00A86746">
      <w:pPr>
        <w:pStyle w:val="BodyText"/>
        <w:rPr>
          <w:rFonts w:ascii="Arial" w:hAnsi="Arial"/>
          <w:b/>
          <w:sz w:val="32"/>
          <w:szCs w:val="32"/>
        </w:rPr>
      </w:pPr>
    </w:p>
    <w:p w:rsidR="00D77E7B" w:rsidRPr="008816D0" w:rsidRDefault="00D77E7B" w:rsidP="00A86746">
      <w:pPr>
        <w:pStyle w:val="BodyText"/>
        <w:rPr>
          <w:rFonts w:ascii="Arial" w:hAnsi="Arial"/>
          <w:b/>
          <w:sz w:val="32"/>
          <w:szCs w:val="32"/>
        </w:rPr>
        <w:sectPr w:rsidR="00D77E7B" w:rsidRPr="008816D0" w:rsidSect="00BF79C8">
          <w:headerReference w:type="default" r:id="rId9"/>
          <w:footerReference w:type="even" r:id="rId10"/>
          <w:footerReference w:type="default" r:id="rId11"/>
          <w:pgSz w:w="12240" w:h="15840"/>
          <w:pgMar w:top="1440" w:right="1800" w:bottom="1440" w:left="1800" w:header="708" w:footer="708" w:gutter="0"/>
          <w:cols w:space="708"/>
          <w:docGrid w:linePitch="360"/>
        </w:sectPr>
      </w:pPr>
    </w:p>
    <w:p w:rsidR="00D77E7B" w:rsidRDefault="00D77E7B" w:rsidP="00E14CA2">
      <w:pPr>
        <w:pStyle w:val="BodyText"/>
        <w:rPr>
          <w:rFonts w:ascii="Arial" w:hAnsi="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6662"/>
        <w:gridCol w:w="1134"/>
      </w:tblGrid>
      <w:tr w:rsidR="008E6CAD" w:rsidRPr="008E6CAD" w:rsidTr="008E6CAD">
        <w:tc>
          <w:tcPr>
            <w:tcW w:w="392" w:type="dxa"/>
          </w:tcPr>
          <w:p w:rsidR="000F1C56" w:rsidRPr="008E6CAD" w:rsidRDefault="000F1C56" w:rsidP="004C4FC5">
            <w:pPr>
              <w:spacing w:before="120" w:after="120" w:line="240" w:lineRule="auto"/>
              <w:ind w:left="360"/>
              <w:rPr>
                <w:rFonts w:ascii="Arial" w:hAnsi="Arial" w:cs="Arial"/>
                <w:b/>
                <w:sz w:val="24"/>
                <w:szCs w:val="24"/>
              </w:rPr>
            </w:pPr>
          </w:p>
        </w:tc>
        <w:tc>
          <w:tcPr>
            <w:tcW w:w="6662" w:type="dxa"/>
          </w:tcPr>
          <w:p w:rsidR="000F1C56" w:rsidRPr="008E6CAD" w:rsidRDefault="004C4FC5" w:rsidP="004C4FC5">
            <w:pPr>
              <w:spacing w:before="120" w:after="120" w:line="240" w:lineRule="auto"/>
              <w:rPr>
                <w:rFonts w:ascii="Arial" w:hAnsi="Arial" w:cs="Arial"/>
                <w:b/>
                <w:sz w:val="24"/>
                <w:szCs w:val="24"/>
              </w:rPr>
            </w:pPr>
            <w:r w:rsidRPr="008E6CAD">
              <w:rPr>
                <w:rFonts w:ascii="Arial" w:hAnsi="Arial" w:cs="Arial"/>
                <w:b/>
                <w:sz w:val="24"/>
                <w:szCs w:val="24"/>
              </w:rPr>
              <w:t>Section</w:t>
            </w:r>
          </w:p>
        </w:tc>
        <w:tc>
          <w:tcPr>
            <w:tcW w:w="1134" w:type="dxa"/>
          </w:tcPr>
          <w:p w:rsidR="000F1C56" w:rsidRPr="008E6CAD" w:rsidRDefault="004C4FC5" w:rsidP="008E6CAD">
            <w:pPr>
              <w:spacing w:before="120" w:after="120" w:line="240" w:lineRule="auto"/>
              <w:jc w:val="center"/>
              <w:rPr>
                <w:rFonts w:ascii="Arial" w:hAnsi="Arial" w:cs="Arial"/>
                <w:b/>
                <w:sz w:val="24"/>
                <w:szCs w:val="24"/>
              </w:rPr>
            </w:pPr>
            <w:r w:rsidRPr="008E6CAD">
              <w:rPr>
                <w:rFonts w:ascii="Arial" w:hAnsi="Arial" w:cs="Arial"/>
                <w:b/>
                <w:sz w:val="24"/>
                <w:szCs w:val="24"/>
              </w:rPr>
              <w:t>Page</w:t>
            </w:r>
          </w:p>
        </w:tc>
      </w:tr>
      <w:tr w:rsidR="008E6CAD" w:rsidRPr="008E6CAD" w:rsidTr="008E6CAD">
        <w:tc>
          <w:tcPr>
            <w:tcW w:w="392" w:type="dxa"/>
          </w:tcPr>
          <w:p w:rsidR="000F1C56" w:rsidRPr="008E6CAD" w:rsidRDefault="000F1C56" w:rsidP="004C4FC5">
            <w:pPr>
              <w:pStyle w:val="ListParagraph"/>
              <w:numPr>
                <w:ilvl w:val="0"/>
                <w:numId w:val="37"/>
              </w:numPr>
              <w:spacing w:before="120" w:after="120"/>
              <w:ind w:left="0" w:firstLine="0"/>
              <w:contextualSpacing w:val="0"/>
              <w:rPr>
                <w:rFonts w:cs="Arial"/>
              </w:rPr>
            </w:pPr>
          </w:p>
        </w:tc>
        <w:tc>
          <w:tcPr>
            <w:tcW w:w="6662" w:type="dxa"/>
          </w:tcPr>
          <w:p w:rsidR="000F1C56" w:rsidRPr="008E6CAD" w:rsidRDefault="000F1C56" w:rsidP="004C4FC5">
            <w:pPr>
              <w:spacing w:before="120" w:after="120" w:line="240" w:lineRule="auto"/>
              <w:rPr>
                <w:rFonts w:ascii="Arial" w:hAnsi="Arial" w:cs="Arial"/>
                <w:sz w:val="24"/>
                <w:szCs w:val="24"/>
              </w:rPr>
            </w:pPr>
            <w:r w:rsidRPr="008E6CAD">
              <w:rPr>
                <w:rFonts w:ascii="Arial" w:hAnsi="Arial" w:cs="Arial"/>
                <w:sz w:val="24"/>
                <w:szCs w:val="24"/>
              </w:rPr>
              <w:t>Introduction</w:t>
            </w:r>
          </w:p>
        </w:tc>
        <w:tc>
          <w:tcPr>
            <w:tcW w:w="1134" w:type="dxa"/>
          </w:tcPr>
          <w:p w:rsidR="000F1C56" w:rsidRPr="008E6CAD" w:rsidRDefault="00D27427" w:rsidP="008E6CAD">
            <w:pPr>
              <w:spacing w:before="120" w:after="120" w:line="240" w:lineRule="auto"/>
              <w:jc w:val="center"/>
              <w:rPr>
                <w:rFonts w:ascii="Arial" w:hAnsi="Arial" w:cs="Arial"/>
                <w:sz w:val="24"/>
                <w:szCs w:val="24"/>
              </w:rPr>
            </w:pPr>
            <w:r w:rsidRPr="008E6CAD">
              <w:rPr>
                <w:rFonts w:ascii="Arial" w:hAnsi="Arial" w:cs="Arial"/>
                <w:sz w:val="24"/>
                <w:szCs w:val="24"/>
              </w:rPr>
              <w:t>1</w:t>
            </w:r>
          </w:p>
        </w:tc>
      </w:tr>
      <w:tr w:rsidR="008E6CAD" w:rsidRPr="008E6CAD" w:rsidTr="008E6CAD">
        <w:tc>
          <w:tcPr>
            <w:tcW w:w="392" w:type="dxa"/>
          </w:tcPr>
          <w:p w:rsidR="000F1C56" w:rsidRPr="008E6CAD" w:rsidRDefault="000F1C56" w:rsidP="004C4FC5">
            <w:pPr>
              <w:pStyle w:val="ListParagraph"/>
              <w:numPr>
                <w:ilvl w:val="0"/>
                <w:numId w:val="37"/>
              </w:numPr>
              <w:spacing w:before="120" w:after="120"/>
              <w:ind w:left="0" w:firstLine="0"/>
              <w:contextualSpacing w:val="0"/>
              <w:rPr>
                <w:rFonts w:cs="Arial"/>
              </w:rPr>
            </w:pPr>
          </w:p>
        </w:tc>
        <w:tc>
          <w:tcPr>
            <w:tcW w:w="6662" w:type="dxa"/>
          </w:tcPr>
          <w:p w:rsidR="000F1C56" w:rsidRPr="008E6CAD" w:rsidRDefault="008E6CAD" w:rsidP="008E6CAD">
            <w:pPr>
              <w:spacing w:before="120" w:after="120" w:line="240" w:lineRule="auto"/>
              <w:rPr>
                <w:rFonts w:ascii="Arial" w:hAnsi="Arial" w:cs="Arial"/>
                <w:sz w:val="24"/>
                <w:szCs w:val="24"/>
              </w:rPr>
            </w:pPr>
            <w:r w:rsidRPr="008E6CAD">
              <w:rPr>
                <w:rFonts w:ascii="Arial" w:hAnsi="Arial" w:cs="Arial"/>
                <w:sz w:val="24"/>
                <w:szCs w:val="24"/>
              </w:rPr>
              <w:t>Summary a</w:t>
            </w:r>
            <w:r w:rsidR="000F1C56" w:rsidRPr="008E6CAD">
              <w:rPr>
                <w:rFonts w:ascii="Arial" w:hAnsi="Arial" w:cs="Arial"/>
                <w:sz w:val="24"/>
                <w:szCs w:val="24"/>
              </w:rPr>
              <w:t>ssessment of internal control</w:t>
            </w:r>
            <w:r>
              <w:rPr>
                <w:rFonts w:ascii="Arial" w:hAnsi="Arial" w:cs="Arial"/>
                <w:sz w:val="24"/>
                <w:szCs w:val="24"/>
              </w:rPr>
              <w:t>, risk management and governance</w:t>
            </w:r>
          </w:p>
        </w:tc>
        <w:tc>
          <w:tcPr>
            <w:tcW w:w="1134" w:type="dxa"/>
          </w:tcPr>
          <w:p w:rsidR="000F1C56" w:rsidRPr="008E6CAD" w:rsidRDefault="00D27427" w:rsidP="008E6CAD">
            <w:pPr>
              <w:spacing w:before="120" w:after="120" w:line="240" w:lineRule="auto"/>
              <w:jc w:val="center"/>
              <w:rPr>
                <w:rFonts w:ascii="Arial" w:hAnsi="Arial" w:cs="Arial"/>
                <w:sz w:val="24"/>
                <w:szCs w:val="24"/>
              </w:rPr>
            </w:pPr>
            <w:r w:rsidRPr="008E6CAD">
              <w:rPr>
                <w:rFonts w:ascii="Arial" w:hAnsi="Arial" w:cs="Arial"/>
                <w:sz w:val="24"/>
                <w:szCs w:val="24"/>
              </w:rPr>
              <w:t>1</w:t>
            </w:r>
          </w:p>
        </w:tc>
      </w:tr>
      <w:tr w:rsidR="008E6CAD" w:rsidRPr="008E6CAD" w:rsidTr="008E6CAD">
        <w:tc>
          <w:tcPr>
            <w:tcW w:w="392" w:type="dxa"/>
          </w:tcPr>
          <w:p w:rsidR="000F1C56" w:rsidRPr="008E6CAD" w:rsidRDefault="000F1C56" w:rsidP="004C4FC5">
            <w:pPr>
              <w:pStyle w:val="ListParagraph"/>
              <w:numPr>
                <w:ilvl w:val="0"/>
                <w:numId w:val="37"/>
              </w:numPr>
              <w:spacing w:before="120" w:after="120"/>
              <w:ind w:left="0" w:firstLine="0"/>
              <w:contextualSpacing w:val="0"/>
              <w:rPr>
                <w:rFonts w:cs="Arial"/>
              </w:rPr>
            </w:pPr>
          </w:p>
        </w:tc>
        <w:tc>
          <w:tcPr>
            <w:tcW w:w="6662" w:type="dxa"/>
          </w:tcPr>
          <w:p w:rsidR="000F1C56" w:rsidRPr="008E6CAD" w:rsidRDefault="008E6CAD" w:rsidP="008E6CAD">
            <w:pPr>
              <w:spacing w:before="120" w:after="120" w:line="240" w:lineRule="auto"/>
              <w:rPr>
                <w:rFonts w:ascii="Arial" w:hAnsi="Arial" w:cs="Arial"/>
                <w:sz w:val="24"/>
                <w:szCs w:val="24"/>
              </w:rPr>
            </w:pPr>
            <w:r w:rsidRPr="008E6CAD">
              <w:rPr>
                <w:rFonts w:ascii="Arial" w:hAnsi="Arial" w:cs="Arial"/>
                <w:sz w:val="24"/>
                <w:szCs w:val="24"/>
              </w:rPr>
              <w:t>Findings of internal audit work undertaken during the year</w:t>
            </w:r>
          </w:p>
        </w:tc>
        <w:tc>
          <w:tcPr>
            <w:tcW w:w="1134" w:type="dxa"/>
          </w:tcPr>
          <w:p w:rsidR="000F1C56" w:rsidRPr="008E6CAD" w:rsidRDefault="00D27427" w:rsidP="008E6CAD">
            <w:pPr>
              <w:spacing w:before="120" w:after="120" w:line="240" w:lineRule="auto"/>
              <w:jc w:val="center"/>
              <w:rPr>
                <w:rFonts w:ascii="Arial" w:hAnsi="Arial" w:cs="Arial"/>
                <w:sz w:val="24"/>
                <w:szCs w:val="24"/>
              </w:rPr>
            </w:pPr>
            <w:r w:rsidRPr="008E6CAD">
              <w:rPr>
                <w:rFonts w:ascii="Arial" w:hAnsi="Arial" w:cs="Arial"/>
                <w:sz w:val="24"/>
                <w:szCs w:val="24"/>
              </w:rPr>
              <w:t>2</w:t>
            </w:r>
          </w:p>
        </w:tc>
      </w:tr>
      <w:tr w:rsidR="008E6CAD" w:rsidRPr="008E6CAD" w:rsidTr="008E6CAD">
        <w:tc>
          <w:tcPr>
            <w:tcW w:w="392" w:type="dxa"/>
          </w:tcPr>
          <w:p w:rsidR="0056672A" w:rsidRPr="008E6CAD" w:rsidRDefault="0056672A" w:rsidP="00526C3A">
            <w:pPr>
              <w:pStyle w:val="ListParagraph"/>
              <w:numPr>
                <w:ilvl w:val="0"/>
                <w:numId w:val="37"/>
              </w:numPr>
              <w:spacing w:before="120" w:after="120"/>
              <w:ind w:left="0" w:firstLine="0"/>
              <w:contextualSpacing w:val="0"/>
              <w:rPr>
                <w:rFonts w:cs="Arial"/>
              </w:rPr>
            </w:pPr>
          </w:p>
        </w:tc>
        <w:tc>
          <w:tcPr>
            <w:tcW w:w="6662" w:type="dxa"/>
          </w:tcPr>
          <w:p w:rsidR="0056672A" w:rsidRPr="008E6CAD" w:rsidRDefault="0056672A" w:rsidP="00526C3A">
            <w:pPr>
              <w:spacing w:before="120" w:after="120" w:line="240" w:lineRule="auto"/>
              <w:rPr>
                <w:rFonts w:ascii="Arial" w:hAnsi="Arial" w:cs="Arial"/>
                <w:sz w:val="24"/>
                <w:szCs w:val="24"/>
              </w:rPr>
            </w:pPr>
            <w:r w:rsidRPr="008E6CAD">
              <w:rPr>
                <w:rFonts w:ascii="Arial" w:hAnsi="Arial" w:cs="Arial"/>
                <w:sz w:val="24"/>
                <w:szCs w:val="24"/>
              </w:rPr>
              <w:t>Internal audit plan 2015/16</w:t>
            </w:r>
          </w:p>
        </w:tc>
        <w:tc>
          <w:tcPr>
            <w:tcW w:w="1134" w:type="dxa"/>
          </w:tcPr>
          <w:p w:rsidR="0056672A" w:rsidRPr="008E6CAD" w:rsidRDefault="00D27427" w:rsidP="008E6CAD">
            <w:pPr>
              <w:spacing w:before="120" w:after="120" w:line="240" w:lineRule="auto"/>
              <w:jc w:val="center"/>
              <w:rPr>
                <w:rFonts w:ascii="Arial" w:hAnsi="Arial" w:cs="Arial"/>
                <w:sz w:val="24"/>
                <w:szCs w:val="24"/>
              </w:rPr>
            </w:pPr>
            <w:r w:rsidRPr="008E6CAD">
              <w:rPr>
                <w:rFonts w:ascii="Arial" w:hAnsi="Arial" w:cs="Arial"/>
                <w:sz w:val="24"/>
                <w:szCs w:val="24"/>
              </w:rPr>
              <w:t>3</w:t>
            </w:r>
          </w:p>
        </w:tc>
      </w:tr>
      <w:tr w:rsidR="008E6CAD" w:rsidRPr="008E6CAD" w:rsidTr="008E6CAD">
        <w:tc>
          <w:tcPr>
            <w:tcW w:w="392" w:type="dxa"/>
          </w:tcPr>
          <w:p w:rsidR="00AF15FA" w:rsidRPr="008E6CAD" w:rsidRDefault="00AF15FA" w:rsidP="00526C3A">
            <w:pPr>
              <w:pStyle w:val="ListParagraph"/>
              <w:numPr>
                <w:ilvl w:val="0"/>
                <w:numId w:val="37"/>
              </w:numPr>
              <w:spacing w:before="120" w:after="120"/>
              <w:ind w:left="0" w:firstLine="0"/>
              <w:contextualSpacing w:val="0"/>
              <w:rPr>
                <w:rFonts w:cs="Arial"/>
              </w:rPr>
            </w:pPr>
          </w:p>
        </w:tc>
        <w:tc>
          <w:tcPr>
            <w:tcW w:w="6662" w:type="dxa"/>
          </w:tcPr>
          <w:p w:rsidR="00AF15FA" w:rsidRPr="008E6CAD" w:rsidRDefault="008E6CAD" w:rsidP="00526C3A">
            <w:pPr>
              <w:spacing w:before="120" w:after="120" w:line="240" w:lineRule="auto"/>
              <w:rPr>
                <w:rFonts w:ascii="Arial" w:hAnsi="Arial" w:cs="Arial"/>
                <w:sz w:val="24"/>
                <w:szCs w:val="24"/>
              </w:rPr>
            </w:pPr>
            <w:r w:rsidRPr="008E6CAD">
              <w:rPr>
                <w:rFonts w:ascii="Arial" w:hAnsi="Arial" w:cs="Arial"/>
                <w:sz w:val="24"/>
                <w:szCs w:val="24"/>
              </w:rPr>
              <w:t>Internal audit quality assurance and improvement</w:t>
            </w:r>
          </w:p>
        </w:tc>
        <w:tc>
          <w:tcPr>
            <w:tcW w:w="1134" w:type="dxa"/>
          </w:tcPr>
          <w:p w:rsidR="00AF15FA" w:rsidRPr="008E6CAD" w:rsidRDefault="008E6CAD" w:rsidP="008E6CAD">
            <w:pPr>
              <w:spacing w:before="120" w:after="120" w:line="240" w:lineRule="auto"/>
              <w:jc w:val="center"/>
              <w:rPr>
                <w:rFonts w:ascii="Arial" w:hAnsi="Arial" w:cs="Arial"/>
                <w:sz w:val="24"/>
                <w:szCs w:val="24"/>
              </w:rPr>
            </w:pPr>
            <w:r w:rsidRPr="008E6CAD">
              <w:rPr>
                <w:rFonts w:ascii="Arial" w:hAnsi="Arial" w:cs="Arial"/>
                <w:sz w:val="24"/>
                <w:szCs w:val="24"/>
              </w:rPr>
              <w:t>3</w:t>
            </w:r>
          </w:p>
        </w:tc>
      </w:tr>
      <w:tr w:rsidR="008E6CAD" w:rsidRPr="008E6CAD" w:rsidTr="008E6CAD">
        <w:tc>
          <w:tcPr>
            <w:tcW w:w="392" w:type="dxa"/>
          </w:tcPr>
          <w:p w:rsidR="0056672A" w:rsidRPr="008E6CAD" w:rsidRDefault="0056672A" w:rsidP="0056672A">
            <w:pPr>
              <w:spacing w:before="120" w:after="120"/>
              <w:ind w:left="360"/>
              <w:rPr>
                <w:rFonts w:cs="Arial"/>
              </w:rPr>
            </w:pPr>
          </w:p>
        </w:tc>
        <w:tc>
          <w:tcPr>
            <w:tcW w:w="6662" w:type="dxa"/>
          </w:tcPr>
          <w:p w:rsidR="0056672A" w:rsidRPr="008E6CAD" w:rsidRDefault="0056672A" w:rsidP="00526C3A">
            <w:pPr>
              <w:spacing w:before="120" w:after="120" w:line="240" w:lineRule="auto"/>
              <w:rPr>
                <w:rFonts w:ascii="Arial" w:hAnsi="Arial" w:cs="Arial"/>
                <w:sz w:val="24"/>
                <w:szCs w:val="24"/>
              </w:rPr>
            </w:pPr>
          </w:p>
        </w:tc>
        <w:tc>
          <w:tcPr>
            <w:tcW w:w="1134" w:type="dxa"/>
          </w:tcPr>
          <w:p w:rsidR="0056672A" w:rsidRPr="008E6CAD" w:rsidRDefault="0056672A" w:rsidP="008E6CAD">
            <w:pPr>
              <w:spacing w:before="120" w:after="120" w:line="240" w:lineRule="auto"/>
              <w:jc w:val="center"/>
              <w:rPr>
                <w:rFonts w:ascii="Arial" w:hAnsi="Arial" w:cs="Arial"/>
                <w:sz w:val="24"/>
                <w:szCs w:val="24"/>
              </w:rPr>
            </w:pPr>
          </w:p>
        </w:tc>
      </w:tr>
      <w:tr w:rsidR="008E6CAD" w:rsidRPr="008E6CAD" w:rsidTr="008E6CAD">
        <w:tc>
          <w:tcPr>
            <w:tcW w:w="392" w:type="dxa"/>
          </w:tcPr>
          <w:p w:rsidR="000F1C56" w:rsidRPr="008E6CAD" w:rsidRDefault="000F1C56" w:rsidP="0056672A">
            <w:pPr>
              <w:spacing w:before="120" w:after="120"/>
              <w:ind w:left="360"/>
              <w:rPr>
                <w:rFonts w:cs="Arial"/>
              </w:rPr>
            </w:pPr>
          </w:p>
        </w:tc>
        <w:tc>
          <w:tcPr>
            <w:tcW w:w="6662" w:type="dxa"/>
          </w:tcPr>
          <w:p w:rsidR="000F1C56" w:rsidRPr="008E6CAD" w:rsidRDefault="0056672A" w:rsidP="004C4FC5">
            <w:pPr>
              <w:spacing w:before="120" w:after="120" w:line="240" w:lineRule="auto"/>
              <w:rPr>
                <w:rFonts w:ascii="Arial" w:hAnsi="Arial" w:cs="Arial"/>
                <w:sz w:val="24"/>
                <w:szCs w:val="24"/>
              </w:rPr>
            </w:pPr>
            <w:r w:rsidRPr="008E6CAD">
              <w:rPr>
                <w:rFonts w:ascii="Arial" w:hAnsi="Arial" w:cs="Arial"/>
                <w:sz w:val="24"/>
                <w:szCs w:val="24"/>
              </w:rPr>
              <w:t xml:space="preserve">Annex A: </w:t>
            </w:r>
            <w:r w:rsidR="000F1C56" w:rsidRPr="008E6CAD">
              <w:rPr>
                <w:rFonts w:ascii="Arial" w:hAnsi="Arial" w:cs="Arial"/>
                <w:sz w:val="24"/>
                <w:szCs w:val="24"/>
              </w:rPr>
              <w:t>Scope, responsibilities and assurance</w:t>
            </w:r>
          </w:p>
        </w:tc>
        <w:tc>
          <w:tcPr>
            <w:tcW w:w="1134" w:type="dxa"/>
          </w:tcPr>
          <w:p w:rsidR="000F1C56" w:rsidRPr="008E6CAD" w:rsidRDefault="008E6CAD" w:rsidP="008E6CAD">
            <w:pPr>
              <w:spacing w:before="120" w:after="120" w:line="240" w:lineRule="auto"/>
              <w:jc w:val="center"/>
              <w:rPr>
                <w:rFonts w:ascii="Arial" w:hAnsi="Arial" w:cs="Arial"/>
                <w:sz w:val="24"/>
                <w:szCs w:val="24"/>
              </w:rPr>
            </w:pPr>
            <w:r w:rsidRPr="008E6CAD">
              <w:rPr>
                <w:rFonts w:ascii="Arial" w:hAnsi="Arial" w:cs="Arial"/>
                <w:sz w:val="24"/>
                <w:szCs w:val="24"/>
              </w:rPr>
              <w:t>5</w:t>
            </w:r>
          </w:p>
        </w:tc>
      </w:tr>
      <w:tr w:rsidR="008E6CAD" w:rsidRPr="008E6CAD" w:rsidTr="008E6CAD">
        <w:tc>
          <w:tcPr>
            <w:tcW w:w="392" w:type="dxa"/>
          </w:tcPr>
          <w:p w:rsidR="00F57F94" w:rsidRPr="008E6CAD" w:rsidRDefault="00F57F94" w:rsidP="0056672A">
            <w:pPr>
              <w:spacing w:before="120" w:after="120"/>
              <w:ind w:left="360"/>
              <w:rPr>
                <w:rFonts w:cs="Arial"/>
              </w:rPr>
            </w:pPr>
          </w:p>
        </w:tc>
        <w:tc>
          <w:tcPr>
            <w:tcW w:w="6662" w:type="dxa"/>
          </w:tcPr>
          <w:p w:rsidR="00F57F94" w:rsidRPr="008E6CAD" w:rsidRDefault="00F57F94" w:rsidP="004C4FC5">
            <w:pPr>
              <w:spacing w:before="120" w:after="120" w:line="240" w:lineRule="auto"/>
              <w:rPr>
                <w:rFonts w:ascii="Arial" w:hAnsi="Arial" w:cs="Arial"/>
                <w:sz w:val="24"/>
                <w:szCs w:val="24"/>
              </w:rPr>
            </w:pPr>
            <w:r w:rsidRPr="008E6CAD">
              <w:rPr>
                <w:rFonts w:ascii="Arial" w:hAnsi="Arial" w:cs="Arial"/>
                <w:sz w:val="24"/>
                <w:szCs w:val="24"/>
              </w:rPr>
              <w:t>Annex B: Audit assurance levels</w:t>
            </w:r>
          </w:p>
        </w:tc>
        <w:tc>
          <w:tcPr>
            <w:tcW w:w="1134" w:type="dxa"/>
          </w:tcPr>
          <w:p w:rsidR="00F57F94" w:rsidRPr="008E6CAD" w:rsidRDefault="008E6CAD" w:rsidP="008E6CAD">
            <w:pPr>
              <w:spacing w:before="120" w:after="120" w:line="240" w:lineRule="auto"/>
              <w:jc w:val="center"/>
              <w:rPr>
                <w:rFonts w:ascii="Arial" w:hAnsi="Arial" w:cs="Arial"/>
                <w:sz w:val="24"/>
                <w:szCs w:val="24"/>
              </w:rPr>
            </w:pPr>
            <w:r w:rsidRPr="008E6CAD">
              <w:rPr>
                <w:rFonts w:ascii="Arial" w:hAnsi="Arial" w:cs="Arial"/>
                <w:sz w:val="24"/>
                <w:szCs w:val="24"/>
              </w:rPr>
              <w:t>7</w:t>
            </w:r>
          </w:p>
        </w:tc>
      </w:tr>
    </w:tbl>
    <w:p w:rsidR="00D77E7B" w:rsidRPr="00344BD8" w:rsidRDefault="00D77E7B" w:rsidP="000F1C56">
      <w:pPr>
        <w:rPr>
          <w:rFonts w:ascii="Arial" w:hAnsi="Arial" w:cs="Arial"/>
          <w:sz w:val="24"/>
          <w:szCs w:val="24"/>
        </w:rPr>
      </w:pPr>
    </w:p>
    <w:p w:rsidR="00D77E7B" w:rsidRPr="001E543A" w:rsidRDefault="00D77E7B" w:rsidP="00E14CA2">
      <w:pPr>
        <w:pStyle w:val="BodyText"/>
        <w:rPr>
          <w:rFonts w:ascii="Arial" w:hAnsi="Arial"/>
          <w:sz w:val="24"/>
        </w:rPr>
      </w:pPr>
    </w:p>
    <w:p w:rsidR="00D77E7B" w:rsidRDefault="00D77E7B" w:rsidP="00E14CA2">
      <w:pPr>
        <w:pStyle w:val="BodyText"/>
        <w:rPr>
          <w:rFonts w:ascii="Arial" w:hAnsi="Arial"/>
          <w:b/>
          <w:sz w:val="24"/>
        </w:rPr>
        <w:sectPr w:rsidR="00D77E7B" w:rsidSect="00144925">
          <w:headerReference w:type="default" r:id="rId12"/>
          <w:footerReference w:type="default" r:id="rId13"/>
          <w:headerReference w:type="first" r:id="rId14"/>
          <w:pgSz w:w="12240" w:h="15840"/>
          <w:pgMar w:top="1440" w:right="1797" w:bottom="1440" w:left="1797" w:header="709" w:footer="709" w:gutter="0"/>
          <w:pgNumType w:start="2"/>
          <w:cols w:space="708"/>
          <w:rtlGutter/>
          <w:docGrid w:linePitch="360"/>
        </w:sectPr>
      </w:pPr>
    </w:p>
    <w:p w:rsidR="004C4FC5" w:rsidRPr="004C4FC5" w:rsidRDefault="004C4FC5" w:rsidP="004C4FC5">
      <w:pPr>
        <w:pStyle w:val="Heading1"/>
        <w:numPr>
          <w:ilvl w:val="0"/>
          <w:numId w:val="23"/>
        </w:numPr>
        <w:tabs>
          <w:tab w:val="clear" w:pos="992"/>
          <w:tab w:val="num" w:pos="851"/>
        </w:tabs>
        <w:spacing w:after="120" w:line="240" w:lineRule="auto"/>
        <w:ind w:left="851" w:hanging="851"/>
        <w:rPr>
          <w:rFonts w:ascii="Arial" w:hAnsi="Arial" w:cs="Arial"/>
          <w:bCs w:val="0"/>
          <w:sz w:val="28"/>
          <w:szCs w:val="28"/>
        </w:rPr>
      </w:pPr>
      <w:bookmarkStart w:id="1" w:name="Introduction"/>
      <w:r w:rsidRPr="004C4FC5">
        <w:rPr>
          <w:rFonts w:ascii="Arial" w:hAnsi="Arial" w:cs="Arial"/>
          <w:sz w:val="28"/>
          <w:szCs w:val="28"/>
        </w:rPr>
        <w:lastRenderedPageBreak/>
        <w:t>Introduction</w:t>
      </w:r>
    </w:p>
    <w:bookmarkEnd w:id="1"/>
    <w:p w:rsidR="004C4FC5" w:rsidRPr="004C4FC5" w:rsidRDefault="004C4FC5" w:rsidP="004C4FC5">
      <w:pPr>
        <w:numPr>
          <w:ilvl w:val="1"/>
          <w:numId w:val="23"/>
        </w:numPr>
        <w:tabs>
          <w:tab w:val="clear" w:pos="992"/>
          <w:tab w:val="num" w:pos="851"/>
        </w:tabs>
        <w:spacing w:before="120" w:after="120" w:line="240" w:lineRule="auto"/>
        <w:ind w:left="851" w:hanging="851"/>
        <w:rPr>
          <w:rFonts w:ascii="Arial" w:hAnsi="Arial" w:cs="Arial"/>
          <w:sz w:val="24"/>
          <w:szCs w:val="24"/>
        </w:rPr>
      </w:pPr>
      <w:r w:rsidRPr="004C4FC5">
        <w:rPr>
          <w:rFonts w:ascii="Arial" w:hAnsi="Arial" w:cs="Arial"/>
          <w:sz w:val="24"/>
          <w:szCs w:val="24"/>
        </w:rPr>
        <w:t>This report summarises the work that the county council's Internal Audit Service undertook during 201</w:t>
      </w:r>
      <w:r>
        <w:rPr>
          <w:rFonts w:ascii="Arial" w:hAnsi="Arial" w:cs="Arial"/>
          <w:sz w:val="24"/>
          <w:szCs w:val="24"/>
        </w:rPr>
        <w:t>4</w:t>
      </w:r>
      <w:r w:rsidRPr="004C4FC5">
        <w:rPr>
          <w:rFonts w:ascii="Arial" w:hAnsi="Arial" w:cs="Arial"/>
          <w:sz w:val="24"/>
          <w:szCs w:val="24"/>
        </w:rPr>
        <w:t>/1</w:t>
      </w:r>
      <w:r>
        <w:rPr>
          <w:rFonts w:ascii="Arial" w:hAnsi="Arial" w:cs="Arial"/>
          <w:sz w:val="24"/>
          <w:szCs w:val="24"/>
        </w:rPr>
        <w:t>5</w:t>
      </w:r>
      <w:r w:rsidRPr="004C4FC5">
        <w:rPr>
          <w:rFonts w:ascii="Arial" w:hAnsi="Arial" w:cs="Arial"/>
          <w:sz w:val="24"/>
          <w:szCs w:val="24"/>
        </w:rPr>
        <w:t xml:space="preserve"> and the key themes arising in relation to </w:t>
      </w:r>
      <w:r w:rsidR="007F6E34">
        <w:rPr>
          <w:rFonts w:ascii="Arial" w:hAnsi="Arial" w:cs="Arial"/>
          <w:sz w:val="24"/>
          <w:szCs w:val="24"/>
        </w:rPr>
        <w:t xml:space="preserve">the Pension Fund's </w:t>
      </w:r>
      <w:r w:rsidRPr="004C4FC5">
        <w:rPr>
          <w:rFonts w:ascii="Arial" w:hAnsi="Arial" w:cs="Arial"/>
          <w:sz w:val="24"/>
          <w:szCs w:val="24"/>
        </w:rPr>
        <w:t>internal control, governance and risk management.</w:t>
      </w:r>
      <w:r w:rsidR="00D56808">
        <w:rPr>
          <w:rFonts w:ascii="Arial" w:hAnsi="Arial" w:cs="Arial"/>
          <w:sz w:val="24"/>
          <w:szCs w:val="24"/>
        </w:rPr>
        <w:t xml:space="preserve"> It also provides an outline of the internal audit work planned for 2015/16.</w:t>
      </w:r>
      <w:r w:rsidR="00CA7216">
        <w:rPr>
          <w:rFonts w:ascii="Arial" w:hAnsi="Arial" w:cs="Arial"/>
          <w:sz w:val="24"/>
          <w:szCs w:val="24"/>
        </w:rPr>
        <w:t xml:space="preserve"> It is made</w:t>
      </w:r>
      <w:r w:rsidR="003C4C41">
        <w:rPr>
          <w:rFonts w:ascii="Arial" w:hAnsi="Arial" w:cs="Arial"/>
          <w:sz w:val="24"/>
          <w:szCs w:val="24"/>
        </w:rPr>
        <w:t xml:space="preserve"> under</w:t>
      </w:r>
      <w:r w:rsidR="00CA7216">
        <w:rPr>
          <w:rFonts w:ascii="Arial" w:hAnsi="Arial" w:cs="Arial"/>
          <w:sz w:val="24"/>
          <w:szCs w:val="24"/>
        </w:rPr>
        <w:t xml:space="preserve"> the </w:t>
      </w:r>
      <w:r w:rsidR="00CA7216" w:rsidRPr="004C4FC5">
        <w:rPr>
          <w:rFonts w:ascii="Arial" w:hAnsi="Arial" w:cs="Arial"/>
          <w:sz w:val="24"/>
          <w:szCs w:val="24"/>
        </w:rPr>
        <w:t>Public Sector Internal Audit Standards issued by the Chartered Institute of Public Finance and Accountancy (CIPFA) and the Chartered Institute of Internal Auditors (IIA)</w:t>
      </w:r>
      <w:r w:rsidR="00985559">
        <w:rPr>
          <w:rFonts w:ascii="Arial" w:hAnsi="Arial" w:cs="Arial"/>
          <w:sz w:val="24"/>
          <w:szCs w:val="24"/>
        </w:rPr>
        <w:t>, with which the Internal Audit Service conforms.</w:t>
      </w:r>
    </w:p>
    <w:p w:rsidR="004C4FC5" w:rsidRPr="004E2B91" w:rsidRDefault="004C4FC5" w:rsidP="004C4FC5">
      <w:pPr>
        <w:pStyle w:val="Heading3"/>
        <w:tabs>
          <w:tab w:val="left" w:pos="284"/>
        </w:tabs>
        <w:spacing w:after="120"/>
        <w:rPr>
          <w:sz w:val="24"/>
          <w:szCs w:val="24"/>
        </w:rPr>
      </w:pPr>
      <w:r w:rsidRPr="004E2B91">
        <w:rPr>
          <w:sz w:val="24"/>
          <w:szCs w:val="24"/>
        </w:rPr>
        <w:t>The role of internal audit</w:t>
      </w:r>
    </w:p>
    <w:p w:rsidR="004C4FC5" w:rsidRPr="004C4FC5" w:rsidRDefault="004C4FC5" w:rsidP="004C4FC5">
      <w:pPr>
        <w:numPr>
          <w:ilvl w:val="1"/>
          <w:numId w:val="23"/>
        </w:numPr>
        <w:tabs>
          <w:tab w:val="clear" w:pos="992"/>
          <w:tab w:val="num" w:pos="851"/>
        </w:tabs>
        <w:spacing w:before="120" w:after="120" w:line="240" w:lineRule="auto"/>
        <w:ind w:left="851" w:hanging="851"/>
        <w:rPr>
          <w:rFonts w:ascii="Arial" w:hAnsi="Arial" w:cs="Arial"/>
          <w:sz w:val="24"/>
          <w:szCs w:val="24"/>
        </w:rPr>
      </w:pPr>
      <w:r w:rsidRPr="004C4FC5">
        <w:rPr>
          <w:rFonts w:ascii="Arial" w:hAnsi="Arial" w:cs="Arial"/>
          <w:sz w:val="24"/>
          <w:szCs w:val="24"/>
        </w:rPr>
        <w:t xml:space="preserve">The Internal Audit Service is an assurance function that provides an independent and objective opinion on the adequacy and effectiveness of the council's control environment. The Public Sector </w:t>
      </w:r>
      <w:r w:rsidRPr="004C4FC5">
        <w:rPr>
          <w:rFonts w:ascii="Arial" w:hAnsi="Arial" w:cs="Arial"/>
          <w:sz w:val="24"/>
          <w:szCs w:val="24"/>
        </w:rPr>
        <w:lastRenderedPageBreak/>
        <w:t xml:space="preserve">Internal Audit Standards require the chief internal auditor to provide an opinion on the </w:t>
      </w:r>
      <w:r>
        <w:rPr>
          <w:rFonts w:ascii="Arial" w:hAnsi="Arial" w:cs="Arial"/>
          <w:sz w:val="24"/>
          <w:szCs w:val="24"/>
        </w:rPr>
        <w:t>Pension Fund's</w:t>
      </w:r>
      <w:r w:rsidRPr="004C4FC5">
        <w:rPr>
          <w:rFonts w:ascii="Arial" w:hAnsi="Arial" w:cs="Arial"/>
          <w:sz w:val="24"/>
          <w:szCs w:val="24"/>
        </w:rPr>
        <w:t xml:space="preserve"> control environment and a written report to those charged with governance, timed to support the annual governance statement. This report </w:t>
      </w:r>
      <w:r w:rsidR="007F6E34">
        <w:rPr>
          <w:rFonts w:ascii="Arial" w:hAnsi="Arial" w:cs="Arial"/>
          <w:sz w:val="24"/>
          <w:szCs w:val="24"/>
        </w:rPr>
        <w:t>is</w:t>
      </w:r>
      <w:r w:rsidRPr="004C4FC5">
        <w:rPr>
          <w:rFonts w:ascii="Arial" w:hAnsi="Arial" w:cs="Arial"/>
          <w:sz w:val="24"/>
          <w:szCs w:val="24"/>
        </w:rPr>
        <w:t xml:space="preserve"> based upon the work the Internal Audit Service performed during 201</w:t>
      </w:r>
      <w:r>
        <w:rPr>
          <w:rFonts w:ascii="Arial" w:hAnsi="Arial" w:cs="Arial"/>
          <w:sz w:val="24"/>
          <w:szCs w:val="24"/>
        </w:rPr>
        <w:t>4</w:t>
      </w:r>
      <w:r w:rsidRPr="004C4FC5">
        <w:rPr>
          <w:rFonts w:ascii="Arial" w:hAnsi="Arial" w:cs="Arial"/>
          <w:sz w:val="24"/>
          <w:szCs w:val="24"/>
        </w:rPr>
        <w:t>/1</w:t>
      </w:r>
      <w:r>
        <w:rPr>
          <w:rFonts w:ascii="Arial" w:hAnsi="Arial" w:cs="Arial"/>
          <w:sz w:val="24"/>
          <w:szCs w:val="24"/>
        </w:rPr>
        <w:t>5</w:t>
      </w:r>
      <w:r w:rsidRPr="004C4FC5">
        <w:rPr>
          <w:rFonts w:ascii="Arial" w:hAnsi="Arial" w:cs="Arial"/>
          <w:sz w:val="24"/>
          <w:szCs w:val="24"/>
        </w:rPr>
        <w:t>.</w:t>
      </w:r>
    </w:p>
    <w:p w:rsidR="004C4FC5" w:rsidRPr="004C4FC5" w:rsidRDefault="00D56808" w:rsidP="004C4FC5">
      <w:pPr>
        <w:numPr>
          <w:ilvl w:val="1"/>
          <w:numId w:val="23"/>
        </w:numPr>
        <w:tabs>
          <w:tab w:val="clear" w:pos="992"/>
          <w:tab w:val="num" w:pos="851"/>
        </w:tabs>
        <w:spacing w:before="120" w:after="120" w:line="240" w:lineRule="auto"/>
        <w:ind w:left="851" w:hanging="851"/>
        <w:rPr>
          <w:rFonts w:ascii="Arial" w:hAnsi="Arial" w:cs="Arial"/>
          <w:sz w:val="24"/>
          <w:szCs w:val="24"/>
        </w:rPr>
      </w:pPr>
      <w:r w:rsidRPr="00D56808">
        <w:rPr>
          <w:rFonts w:ascii="Arial" w:hAnsi="Arial" w:cs="Arial"/>
          <w:sz w:val="24"/>
          <w:szCs w:val="24"/>
        </w:rPr>
        <w:t>An explanation of the scope of our work</w:t>
      </w:r>
      <w:r>
        <w:rPr>
          <w:rFonts w:ascii="Arial" w:hAnsi="Arial" w:cs="Arial"/>
          <w:sz w:val="24"/>
          <w:szCs w:val="24"/>
        </w:rPr>
        <w:t>,</w:t>
      </w:r>
      <w:r w:rsidRPr="00D56808">
        <w:rPr>
          <w:rFonts w:ascii="Arial" w:hAnsi="Arial" w:cs="Arial"/>
          <w:sz w:val="24"/>
          <w:szCs w:val="24"/>
        </w:rPr>
        <w:t xml:space="preserve"> </w:t>
      </w:r>
      <w:r w:rsidRPr="004C4FC5">
        <w:rPr>
          <w:rFonts w:ascii="Arial" w:hAnsi="Arial" w:cs="Arial"/>
          <w:sz w:val="24"/>
          <w:szCs w:val="24"/>
        </w:rPr>
        <w:t xml:space="preserve">management and </w:t>
      </w:r>
      <w:r>
        <w:rPr>
          <w:rFonts w:ascii="Arial" w:hAnsi="Arial" w:cs="Arial"/>
          <w:sz w:val="24"/>
          <w:szCs w:val="24"/>
        </w:rPr>
        <w:t xml:space="preserve">internal </w:t>
      </w:r>
      <w:r w:rsidRPr="004C4FC5">
        <w:rPr>
          <w:rFonts w:ascii="Arial" w:hAnsi="Arial" w:cs="Arial"/>
          <w:sz w:val="24"/>
          <w:szCs w:val="24"/>
        </w:rPr>
        <w:t xml:space="preserve">audit’s </w:t>
      </w:r>
      <w:r w:rsidRPr="00D27427">
        <w:rPr>
          <w:rFonts w:ascii="Arial" w:hAnsi="Arial" w:cs="Arial"/>
          <w:sz w:val="24"/>
          <w:szCs w:val="24"/>
        </w:rPr>
        <w:t>responsibilities, the basis of our assessment, and access to this report is set out in Annex A</w:t>
      </w:r>
      <w:r w:rsidR="008E6CAD">
        <w:rPr>
          <w:rFonts w:ascii="Arial" w:hAnsi="Arial" w:cs="Arial"/>
          <w:sz w:val="24"/>
          <w:szCs w:val="24"/>
        </w:rPr>
        <w:t>. T</w:t>
      </w:r>
      <w:r w:rsidRPr="00D27427">
        <w:rPr>
          <w:rFonts w:ascii="Arial" w:hAnsi="Arial" w:cs="Arial"/>
          <w:sz w:val="24"/>
          <w:szCs w:val="24"/>
        </w:rPr>
        <w:t>he levels of assurance the Internal Audit Service provides are set out in Annex B.</w:t>
      </w:r>
    </w:p>
    <w:p w:rsidR="007F6E34" w:rsidRPr="007F6E34" w:rsidRDefault="008E6CAD" w:rsidP="007F6E34">
      <w:pPr>
        <w:pStyle w:val="Heading1"/>
        <w:numPr>
          <w:ilvl w:val="0"/>
          <w:numId w:val="23"/>
        </w:numPr>
        <w:tabs>
          <w:tab w:val="clear" w:pos="992"/>
          <w:tab w:val="num" w:pos="851"/>
        </w:tabs>
        <w:spacing w:after="120" w:line="240" w:lineRule="auto"/>
        <w:ind w:left="851" w:hanging="851"/>
        <w:rPr>
          <w:rFonts w:ascii="Arial" w:hAnsi="Arial" w:cs="Arial"/>
          <w:sz w:val="28"/>
          <w:szCs w:val="28"/>
        </w:rPr>
      </w:pPr>
      <w:r>
        <w:rPr>
          <w:rFonts w:ascii="Arial" w:hAnsi="Arial" w:cs="Arial"/>
          <w:sz w:val="28"/>
          <w:szCs w:val="28"/>
        </w:rPr>
        <w:t>Overall</w:t>
      </w:r>
      <w:r w:rsidR="007F6E34" w:rsidRPr="007F6E34">
        <w:rPr>
          <w:rFonts w:ascii="Arial" w:hAnsi="Arial" w:cs="Arial"/>
          <w:sz w:val="28"/>
          <w:szCs w:val="28"/>
        </w:rPr>
        <w:t xml:space="preserve"> assessment of internal control</w:t>
      </w:r>
      <w:r>
        <w:rPr>
          <w:rFonts w:ascii="Arial" w:hAnsi="Arial" w:cs="Arial"/>
          <w:sz w:val="28"/>
          <w:szCs w:val="28"/>
        </w:rPr>
        <w:t>, risk management and governance</w:t>
      </w:r>
    </w:p>
    <w:p w:rsidR="004C4FC5" w:rsidRDefault="007F6E34" w:rsidP="007F6E34">
      <w:pPr>
        <w:numPr>
          <w:ilvl w:val="1"/>
          <w:numId w:val="23"/>
        </w:numPr>
        <w:tabs>
          <w:tab w:val="clear" w:pos="992"/>
          <w:tab w:val="num" w:pos="851"/>
        </w:tabs>
        <w:spacing w:before="120" w:after="120" w:line="240" w:lineRule="auto"/>
        <w:ind w:left="851" w:hanging="851"/>
        <w:rPr>
          <w:rFonts w:ascii="Arial" w:hAnsi="Arial" w:cs="Arial"/>
          <w:sz w:val="24"/>
          <w:szCs w:val="24"/>
        </w:rPr>
      </w:pPr>
      <w:r>
        <w:rPr>
          <w:rFonts w:ascii="Arial" w:hAnsi="Arial" w:cs="Arial"/>
          <w:sz w:val="24"/>
          <w:szCs w:val="24"/>
        </w:rPr>
        <w:t xml:space="preserve">On the basis of our programme of work for 2014/15 we can provide substantial assurance </w:t>
      </w:r>
      <w:r w:rsidRPr="007F6E34">
        <w:rPr>
          <w:rFonts w:ascii="Arial" w:hAnsi="Arial" w:cs="Arial"/>
          <w:sz w:val="24"/>
          <w:szCs w:val="24"/>
        </w:rPr>
        <w:t xml:space="preserve">there is a generally sound </w:t>
      </w:r>
      <w:r w:rsidRPr="007F6E34">
        <w:rPr>
          <w:rFonts w:ascii="Arial" w:hAnsi="Arial" w:cs="Arial"/>
          <w:sz w:val="24"/>
          <w:szCs w:val="24"/>
        </w:rPr>
        <w:lastRenderedPageBreak/>
        <w:t xml:space="preserve">system of internal control, </w:t>
      </w:r>
      <w:r w:rsidR="008E6CAD">
        <w:rPr>
          <w:rFonts w:ascii="Arial" w:hAnsi="Arial" w:cs="Arial"/>
          <w:sz w:val="24"/>
          <w:szCs w:val="24"/>
        </w:rPr>
        <w:t xml:space="preserve">risk management and governance </w:t>
      </w:r>
      <w:r w:rsidRPr="007F6E34">
        <w:rPr>
          <w:rFonts w:ascii="Arial" w:hAnsi="Arial" w:cs="Arial"/>
          <w:sz w:val="24"/>
          <w:szCs w:val="24"/>
        </w:rPr>
        <w:t xml:space="preserve">designed to meet the </w:t>
      </w:r>
      <w:r>
        <w:rPr>
          <w:rFonts w:ascii="Arial" w:hAnsi="Arial" w:cs="Arial"/>
          <w:sz w:val="24"/>
          <w:szCs w:val="24"/>
        </w:rPr>
        <w:t>Pension Fund's</w:t>
      </w:r>
      <w:r w:rsidRPr="007F6E34">
        <w:rPr>
          <w:rFonts w:ascii="Arial" w:hAnsi="Arial" w:cs="Arial"/>
          <w:sz w:val="24"/>
          <w:szCs w:val="24"/>
        </w:rPr>
        <w:t xml:space="preserve"> objectives, and controls are generally being applied consistently</w:t>
      </w:r>
      <w:r>
        <w:rPr>
          <w:rFonts w:ascii="Arial" w:hAnsi="Arial" w:cs="Arial"/>
          <w:sz w:val="24"/>
          <w:szCs w:val="24"/>
        </w:rPr>
        <w:t>.</w:t>
      </w:r>
    </w:p>
    <w:p w:rsidR="007F6E34" w:rsidRPr="007F6E34" w:rsidRDefault="007F6E34" w:rsidP="007F6E34">
      <w:pPr>
        <w:numPr>
          <w:ilvl w:val="1"/>
          <w:numId w:val="23"/>
        </w:numPr>
        <w:tabs>
          <w:tab w:val="clear" w:pos="992"/>
          <w:tab w:val="num" w:pos="851"/>
        </w:tabs>
        <w:spacing w:before="120" w:after="120" w:line="240" w:lineRule="auto"/>
        <w:ind w:left="851" w:hanging="851"/>
        <w:rPr>
          <w:rFonts w:ascii="Arial" w:hAnsi="Arial" w:cs="Arial"/>
          <w:sz w:val="24"/>
          <w:szCs w:val="24"/>
        </w:rPr>
      </w:pPr>
      <w:r w:rsidRPr="007F6E34">
        <w:rPr>
          <w:rFonts w:ascii="Arial" w:hAnsi="Arial" w:cs="Arial"/>
          <w:sz w:val="24"/>
          <w:szCs w:val="24"/>
        </w:rPr>
        <w:t>Management's responses to our work have been positive and action has been</w:t>
      </w:r>
      <w:r>
        <w:rPr>
          <w:rFonts w:ascii="Arial" w:hAnsi="Arial" w:cs="Arial"/>
          <w:sz w:val="24"/>
          <w:szCs w:val="24"/>
        </w:rPr>
        <w:t>,</w:t>
      </w:r>
      <w:r w:rsidRPr="007F6E34">
        <w:rPr>
          <w:rFonts w:ascii="Arial" w:hAnsi="Arial" w:cs="Arial"/>
          <w:sz w:val="24"/>
          <w:szCs w:val="24"/>
        </w:rPr>
        <w:t xml:space="preserve"> or will be</w:t>
      </w:r>
      <w:r>
        <w:rPr>
          <w:rFonts w:ascii="Arial" w:hAnsi="Arial" w:cs="Arial"/>
          <w:sz w:val="24"/>
          <w:szCs w:val="24"/>
        </w:rPr>
        <w:t>,</w:t>
      </w:r>
      <w:r w:rsidRPr="007F6E34">
        <w:rPr>
          <w:rFonts w:ascii="Arial" w:hAnsi="Arial" w:cs="Arial"/>
          <w:sz w:val="24"/>
          <w:szCs w:val="24"/>
        </w:rPr>
        <w:t xml:space="preserve"> taken where </w:t>
      </w:r>
      <w:r>
        <w:rPr>
          <w:rFonts w:ascii="Arial" w:hAnsi="Arial" w:cs="Arial"/>
          <w:sz w:val="24"/>
          <w:szCs w:val="24"/>
        </w:rPr>
        <w:t xml:space="preserve">we have identified control </w:t>
      </w:r>
      <w:r w:rsidRPr="007F6E34">
        <w:rPr>
          <w:rFonts w:ascii="Arial" w:hAnsi="Arial" w:cs="Arial"/>
          <w:sz w:val="24"/>
          <w:szCs w:val="24"/>
        </w:rPr>
        <w:t>issues.</w:t>
      </w:r>
    </w:p>
    <w:p w:rsidR="00BF79C8" w:rsidRPr="004E2B91" w:rsidRDefault="00BF79C8" w:rsidP="00BF79C8">
      <w:pPr>
        <w:pStyle w:val="Heading3"/>
        <w:tabs>
          <w:tab w:val="left" w:pos="284"/>
        </w:tabs>
        <w:spacing w:after="120"/>
        <w:rPr>
          <w:sz w:val="24"/>
          <w:szCs w:val="24"/>
        </w:rPr>
      </w:pPr>
      <w:r w:rsidRPr="004E2B91">
        <w:rPr>
          <w:sz w:val="24"/>
          <w:szCs w:val="24"/>
        </w:rPr>
        <w:t>Summary of assurance provided by the Internal Audit Service</w:t>
      </w:r>
    </w:p>
    <w:p w:rsidR="003163E2" w:rsidRDefault="003163E2" w:rsidP="00BF79C8">
      <w:pPr>
        <w:numPr>
          <w:ilvl w:val="1"/>
          <w:numId w:val="23"/>
        </w:numPr>
        <w:tabs>
          <w:tab w:val="clear" w:pos="992"/>
          <w:tab w:val="num" w:pos="851"/>
        </w:tabs>
        <w:spacing w:before="120" w:after="120" w:line="240" w:lineRule="auto"/>
        <w:ind w:left="851" w:hanging="851"/>
        <w:rPr>
          <w:rFonts w:ascii="Arial" w:hAnsi="Arial" w:cs="Arial"/>
          <w:sz w:val="24"/>
          <w:szCs w:val="24"/>
        </w:rPr>
      </w:pPr>
      <w:r>
        <w:rPr>
          <w:rFonts w:ascii="Arial" w:hAnsi="Arial" w:cs="Arial"/>
          <w:sz w:val="24"/>
          <w:szCs w:val="24"/>
        </w:rPr>
        <w:t xml:space="preserve">We have fulfilled the work plan outlined in the report to the Pension Fund Committee in June 2014, which addressed </w:t>
      </w:r>
      <w:r w:rsidR="004E2B91">
        <w:rPr>
          <w:rFonts w:ascii="Arial" w:hAnsi="Arial" w:cs="Arial"/>
          <w:sz w:val="24"/>
          <w:szCs w:val="24"/>
        </w:rPr>
        <w:t xml:space="preserve">administration of the Fund for its members, </w:t>
      </w:r>
      <w:r>
        <w:rPr>
          <w:rFonts w:ascii="Arial" w:hAnsi="Arial" w:cs="Arial"/>
          <w:sz w:val="24"/>
          <w:szCs w:val="24"/>
        </w:rPr>
        <w:t>controls monitoring the Fund's investments, the Fund's accounting arrangements, and the renewal of the property fund mandate.</w:t>
      </w:r>
      <w:r w:rsidR="004E2B91">
        <w:rPr>
          <w:rFonts w:ascii="Arial" w:hAnsi="Arial" w:cs="Arial"/>
          <w:sz w:val="24"/>
          <w:szCs w:val="24"/>
        </w:rPr>
        <w:t xml:space="preserve"> We have provided </w:t>
      </w:r>
      <w:r w:rsidR="008E6CAD">
        <w:rPr>
          <w:rFonts w:ascii="Arial" w:hAnsi="Arial" w:cs="Arial"/>
          <w:sz w:val="24"/>
          <w:szCs w:val="24"/>
        </w:rPr>
        <w:t xml:space="preserve">full or </w:t>
      </w:r>
      <w:r w:rsidR="004E2B91">
        <w:rPr>
          <w:rFonts w:ascii="Arial" w:hAnsi="Arial" w:cs="Arial"/>
          <w:sz w:val="24"/>
          <w:szCs w:val="24"/>
        </w:rPr>
        <w:t>substantial assurance over each of these areas.</w:t>
      </w:r>
    </w:p>
    <w:p w:rsidR="007F6E34" w:rsidRPr="004E2B91" w:rsidRDefault="007F6E34" w:rsidP="007F6E34">
      <w:pPr>
        <w:pStyle w:val="Heading3"/>
        <w:tabs>
          <w:tab w:val="left" w:pos="284"/>
        </w:tabs>
        <w:spacing w:after="120"/>
        <w:rPr>
          <w:sz w:val="24"/>
          <w:szCs w:val="24"/>
        </w:rPr>
      </w:pPr>
      <w:r w:rsidRPr="004E2B91">
        <w:rPr>
          <w:sz w:val="24"/>
          <w:szCs w:val="24"/>
        </w:rPr>
        <w:lastRenderedPageBreak/>
        <w:t xml:space="preserve">Wider sources of assurance available to the </w:t>
      </w:r>
      <w:r w:rsidR="001E543A" w:rsidRPr="004E2B91">
        <w:rPr>
          <w:sz w:val="24"/>
          <w:szCs w:val="24"/>
        </w:rPr>
        <w:t>Pension Fund</w:t>
      </w:r>
    </w:p>
    <w:p w:rsidR="003E5FDF" w:rsidRPr="003E5FDF" w:rsidRDefault="007F6E34" w:rsidP="003E5FDF">
      <w:pPr>
        <w:numPr>
          <w:ilvl w:val="1"/>
          <w:numId w:val="23"/>
        </w:numPr>
        <w:tabs>
          <w:tab w:val="clear" w:pos="992"/>
          <w:tab w:val="num" w:pos="851"/>
        </w:tabs>
        <w:spacing w:before="120" w:after="120" w:line="240" w:lineRule="auto"/>
        <w:ind w:left="851" w:hanging="851"/>
        <w:rPr>
          <w:rFonts w:ascii="Arial" w:hAnsi="Arial" w:cs="Arial"/>
          <w:sz w:val="24"/>
          <w:szCs w:val="24"/>
        </w:rPr>
      </w:pPr>
      <w:r w:rsidRPr="00BF79C8">
        <w:rPr>
          <w:rFonts w:ascii="Arial" w:hAnsi="Arial" w:cs="Arial"/>
          <w:sz w:val="24"/>
          <w:szCs w:val="24"/>
        </w:rPr>
        <w:t xml:space="preserve">Assurance has </w:t>
      </w:r>
      <w:r w:rsidR="001E129A">
        <w:rPr>
          <w:rFonts w:ascii="Arial" w:hAnsi="Arial" w:cs="Arial"/>
          <w:sz w:val="24"/>
          <w:szCs w:val="24"/>
        </w:rPr>
        <w:t xml:space="preserve">also </w:t>
      </w:r>
      <w:r w:rsidRPr="00BF79C8">
        <w:rPr>
          <w:rFonts w:ascii="Arial" w:hAnsi="Arial" w:cs="Arial"/>
          <w:sz w:val="24"/>
          <w:szCs w:val="24"/>
        </w:rPr>
        <w:t xml:space="preserve">been provided to the </w:t>
      </w:r>
      <w:r w:rsidR="004E2B91">
        <w:rPr>
          <w:rFonts w:ascii="Arial" w:hAnsi="Arial" w:cs="Arial"/>
          <w:sz w:val="24"/>
          <w:szCs w:val="24"/>
        </w:rPr>
        <w:t>Pension Fund</w:t>
      </w:r>
      <w:r w:rsidRPr="00BF79C8">
        <w:rPr>
          <w:rFonts w:ascii="Arial" w:hAnsi="Arial" w:cs="Arial"/>
          <w:sz w:val="24"/>
          <w:szCs w:val="24"/>
        </w:rPr>
        <w:t xml:space="preserve"> by Grant Thornton as the </w:t>
      </w:r>
      <w:r w:rsidR="00BF79C8">
        <w:rPr>
          <w:rFonts w:ascii="Arial" w:hAnsi="Arial" w:cs="Arial"/>
          <w:sz w:val="24"/>
          <w:szCs w:val="24"/>
        </w:rPr>
        <w:t>Fund's</w:t>
      </w:r>
      <w:r w:rsidRPr="00BF79C8">
        <w:rPr>
          <w:rFonts w:ascii="Arial" w:hAnsi="Arial" w:cs="Arial"/>
          <w:sz w:val="24"/>
          <w:szCs w:val="24"/>
        </w:rPr>
        <w:t xml:space="preserve"> external auditor. Grant Thornton issued its annual audit letter </w:t>
      </w:r>
      <w:r w:rsidRPr="003E5FDF">
        <w:rPr>
          <w:rFonts w:ascii="Arial" w:hAnsi="Arial" w:cs="Arial"/>
          <w:sz w:val="24"/>
          <w:szCs w:val="24"/>
        </w:rPr>
        <w:t>relating to 201</w:t>
      </w:r>
      <w:r w:rsidR="00BF79C8" w:rsidRPr="003E5FDF">
        <w:rPr>
          <w:rFonts w:ascii="Arial" w:hAnsi="Arial" w:cs="Arial"/>
          <w:sz w:val="24"/>
          <w:szCs w:val="24"/>
        </w:rPr>
        <w:t>3/14</w:t>
      </w:r>
      <w:r w:rsidRPr="003E5FDF">
        <w:rPr>
          <w:rFonts w:ascii="Arial" w:hAnsi="Arial" w:cs="Arial"/>
          <w:sz w:val="24"/>
          <w:szCs w:val="24"/>
        </w:rPr>
        <w:t xml:space="preserve"> in </w:t>
      </w:r>
      <w:r w:rsidR="003E5FDF" w:rsidRPr="003E5FDF">
        <w:rPr>
          <w:rFonts w:ascii="Arial" w:hAnsi="Arial" w:cs="Arial"/>
          <w:sz w:val="24"/>
          <w:szCs w:val="24"/>
        </w:rPr>
        <w:t>September</w:t>
      </w:r>
      <w:r w:rsidR="00BF79C8" w:rsidRPr="003E5FDF">
        <w:rPr>
          <w:rFonts w:ascii="Arial" w:hAnsi="Arial" w:cs="Arial"/>
          <w:sz w:val="24"/>
          <w:szCs w:val="24"/>
        </w:rPr>
        <w:t xml:space="preserve"> 2014</w:t>
      </w:r>
      <w:r w:rsidRPr="00BF79C8">
        <w:rPr>
          <w:rFonts w:ascii="Arial" w:hAnsi="Arial" w:cs="Arial"/>
          <w:sz w:val="24"/>
          <w:szCs w:val="24"/>
        </w:rPr>
        <w:t xml:space="preserve">, and gave </w:t>
      </w:r>
      <w:r w:rsidR="003E5FDF">
        <w:rPr>
          <w:rFonts w:ascii="Arial" w:hAnsi="Arial" w:cs="Arial"/>
          <w:sz w:val="24"/>
          <w:szCs w:val="24"/>
        </w:rPr>
        <w:t>an unmodified opinion</w:t>
      </w:r>
      <w:r w:rsidRPr="00BF79C8">
        <w:rPr>
          <w:rFonts w:ascii="Arial" w:hAnsi="Arial" w:cs="Arial"/>
          <w:sz w:val="24"/>
          <w:szCs w:val="24"/>
        </w:rPr>
        <w:t xml:space="preserve"> on the </w:t>
      </w:r>
      <w:r w:rsidR="003E5FDF">
        <w:rPr>
          <w:rFonts w:ascii="Arial" w:hAnsi="Arial" w:cs="Arial"/>
          <w:sz w:val="24"/>
          <w:szCs w:val="24"/>
        </w:rPr>
        <w:t xml:space="preserve">Fund's </w:t>
      </w:r>
      <w:r w:rsidRPr="00BF79C8">
        <w:rPr>
          <w:rFonts w:ascii="Arial" w:hAnsi="Arial" w:cs="Arial"/>
          <w:sz w:val="24"/>
          <w:szCs w:val="24"/>
        </w:rPr>
        <w:t>annual financial statements</w:t>
      </w:r>
      <w:r w:rsidR="003E5FDF">
        <w:rPr>
          <w:rFonts w:ascii="Arial" w:hAnsi="Arial" w:cs="Arial"/>
          <w:sz w:val="24"/>
          <w:szCs w:val="24"/>
        </w:rPr>
        <w:t xml:space="preserve">. </w:t>
      </w:r>
      <w:r w:rsidRPr="00BF79C8">
        <w:rPr>
          <w:rFonts w:ascii="Arial" w:hAnsi="Arial" w:cs="Arial"/>
          <w:sz w:val="24"/>
          <w:szCs w:val="24"/>
        </w:rPr>
        <w:t>A copy of the report is available at</w:t>
      </w:r>
      <w:r w:rsidRPr="003E5FDF">
        <w:rPr>
          <w:rFonts w:ascii="Arial" w:hAnsi="Arial" w:cs="Arial"/>
          <w:sz w:val="24"/>
          <w:szCs w:val="24"/>
        </w:rPr>
        <w:t>:</w:t>
      </w:r>
      <w:r w:rsidR="00BF79C8" w:rsidRPr="003E5FDF">
        <w:rPr>
          <w:rFonts w:ascii="Arial" w:hAnsi="Arial" w:cs="Arial"/>
          <w:sz w:val="24"/>
          <w:szCs w:val="24"/>
        </w:rPr>
        <w:t xml:space="preserve"> </w:t>
      </w:r>
      <w:hyperlink r:id="rId15" w:history="1">
        <w:r w:rsidR="003E5FDF" w:rsidRPr="00F60AA6">
          <w:rPr>
            <w:rStyle w:val="Hyperlink"/>
            <w:rFonts w:ascii="Arial" w:hAnsi="Arial" w:cs="Arial"/>
            <w:sz w:val="24"/>
            <w:szCs w:val="24"/>
          </w:rPr>
          <w:t>http://mgintranet/ieListDocuments.aspx?CId=183&amp;MId=3104&amp;Ver=4</w:t>
        </w:r>
      </w:hyperlink>
      <w:r w:rsidR="003E5FDF">
        <w:rPr>
          <w:rFonts w:ascii="Arial" w:hAnsi="Arial" w:cs="Arial"/>
          <w:sz w:val="24"/>
          <w:szCs w:val="24"/>
        </w:rPr>
        <w:t xml:space="preserve"> </w:t>
      </w:r>
      <w:r w:rsidR="003E5FDF" w:rsidRPr="003E5FDF">
        <w:rPr>
          <w:rFonts w:ascii="Arial" w:hAnsi="Arial" w:cs="Arial"/>
          <w:sz w:val="24"/>
          <w:szCs w:val="24"/>
        </w:rPr>
        <w:t>(item 18</w:t>
      </w:r>
      <w:r w:rsidRPr="003E5FDF">
        <w:rPr>
          <w:rFonts w:ascii="Arial" w:hAnsi="Arial" w:cs="Arial"/>
          <w:sz w:val="24"/>
          <w:szCs w:val="24"/>
        </w:rPr>
        <w:t>).</w:t>
      </w:r>
      <w:r w:rsidRPr="00BF79C8">
        <w:rPr>
          <w:rFonts w:ascii="Arial" w:hAnsi="Arial" w:cs="Arial"/>
          <w:sz w:val="24"/>
          <w:szCs w:val="24"/>
        </w:rPr>
        <w:t xml:space="preserve"> The external auditor's annual audit letter for 201</w:t>
      </w:r>
      <w:r w:rsidR="00BF79C8">
        <w:rPr>
          <w:rFonts w:ascii="Arial" w:hAnsi="Arial" w:cs="Arial"/>
          <w:sz w:val="24"/>
          <w:szCs w:val="24"/>
        </w:rPr>
        <w:t>4/15</w:t>
      </w:r>
      <w:r w:rsidRPr="00BF79C8">
        <w:rPr>
          <w:rFonts w:ascii="Arial" w:hAnsi="Arial" w:cs="Arial"/>
          <w:sz w:val="24"/>
          <w:szCs w:val="24"/>
        </w:rPr>
        <w:t xml:space="preserve"> is expected to be available in </w:t>
      </w:r>
      <w:r w:rsidRPr="003E5FDF">
        <w:rPr>
          <w:rFonts w:ascii="Arial" w:hAnsi="Arial" w:cs="Arial"/>
          <w:sz w:val="24"/>
          <w:szCs w:val="24"/>
        </w:rPr>
        <w:t>September 201</w:t>
      </w:r>
      <w:r w:rsidR="00BF79C8" w:rsidRPr="003E5FDF">
        <w:rPr>
          <w:rFonts w:ascii="Arial" w:hAnsi="Arial" w:cs="Arial"/>
          <w:sz w:val="24"/>
          <w:szCs w:val="24"/>
        </w:rPr>
        <w:t>5</w:t>
      </w:r>
      <w:r w:rsidRPr="00BF79C8">
        <w:rPr>
          <w:rFonts w:ascii="Arial" w:hAnsi="Arial" w:cs="Arial"/>
          <w:sz w:val="24"/>
          <w:szCs w:val="24"/>
        </w:rPr>
        <w:t>.</w:t>
      </w:r>
    </w:p>
    <w:p w:rsidR="001E129A" w:rsidRPr="001E129A" w:rsidRDefault="001E129A" w:rsidP="001E129A">
      <w:pPr>
        <w:pStyle w:val="Heading3"/>
        <w:tabs>
          <w:tab w:val="left" w:pos="284"/>
        </w:tabs>
        <w:spacing w:after="120"/>
        <w:rPr>
          <w:sz w:val="24"/>
          <w:szCs w:val="24"/>
        </w:rPr>
      </w:pPr>
      <w:r w:rsidRPr="001E129A">
        <w:rPr>
          <w:sz w:val="24"/>
          <w:szCs w:val="24"/>
        </w:rPr>
        <w:t>Implications for the Annual Governance Statement</w:t>
      </w:r>
    </w:p>
    <w:p w:rsidR="001E129A" w:rsidRDefault="001E129A" w:rsidP="001E129A">
      <w:pPr>
        <w:numPr>
          <w:ilvl w:val="1"/>
          <w:numId w:val="23"/>
        </w:numPr>
        <w:tabs>
          <w:tab w:val="clear" w:pos="992"/>
          <w:tab w:val="num" w:pos="851"/>
        </w:tabs>
        <w:spacing w:before="120" w:after="120" w:line="240" w:lineRule="auto"/>
        <w:ind w:left="851" w:hanging="851"/>
        <w:rPr>
          <w:rFonts w:ascii="Arial" w:hAnsi="Arial" w:cs="Arial"/>
          <w:sz w:val="24"/>
          <w:szCs w:val="24"/>
        </w:rPr>
      </w:pPr>
      <w:r>
        <w:rPr>
          <w:rFonts w:ascii="Arial" w:hAnsi="Arial" w:cs="Arial"/>
          <w:sz w:val="24"/>
          <w:szCs w:val="24"/>
        </w:rPr>
        <w:t>On the basis of our work during 2014/15, we are aware of no issues that should be disclosed in the Fund's Annual Governance Statement.</w:t>
      </w:r>
    </w:p>
    <w:p w:rsidR="001E129A" w:rsidRPr="007940B7" w:rsidRDefault="007940B7" w:rsidP="007940B7">
      <w:pPr>
        <w:pStyle w:val="Heading1"/>
        <w:numPr>
          <w:ilvl w:val="0"/>
          <w:numId w:val="23"/>
        </w:numPr>
        <w:tabs>
          <w:tab w:val="clear" w:pos="992"/>
          <w:tab w:val="num" w:pos="851"/>
        </w:tabs>
        <w:spacing w:after="120" w:line="240" w:lineRule="auto"/>
        <w:ind w:left="851" w:hanging="851"/>
        <w:rPr>
          <w:rFonts w:ascii="Arial" w:hAnsi="Arial" w:cs="Arial"/>
          <w:sz w:val="28"/>
          <w:szCs w:val="28"/>
        </w:rPr>
      </w:pPr>
      <w:r w:rsidRPr="007940B7">
        <w:rPr>
          <w:rFonts w:ascii="Arial" w:hAnsi="Arial" w:cs="Arial"/>
          <w:sz w:val="28"/>
          <w:szCs w:val="28"/>
        </w:rPr>
        <w:lastRenderedPageBreak/>
        <w:t>Findings of internal audit work undertaken during the year</w:t>
      </w:r>
    </w:p>
    <w:p w:rsidR="001E129A" w:rsidRDefault="005920A5" w:rsidP="005920A5">
      <w:pPr>
        <w:pStyle w:val="Heading3"/>
        <w:tabs>
          <w:tab w:val="left" w:pos="284"/>
        </w:tabs>
        <w:spacing w:after="120"/>
        <w:rPr>
          <w:sz w:val="24"/>
          <w:szCs w:val="24"/>
        </w:rPr>
      </w:pPr>
      <w:r>
        <w:rPr>
          <w:sz w:val="24"/>
          <w:szCs w:val="24"/>
        </w:rPr>
        <w:t>Administration of the Pension Fund in relation to its membership</w:t>
      </w:r>
    </w:p>
    <w:p w:rsidR="005920A5" w:rsidRPr="005920A5" w:rsidRDefault="005920A5" w:rsidP="00C905AD">
      <w:pPr>
        <w:numPr>
          <w:ilvl w:val="1"/>
          <w:numId w:val="23"/>
        </w:numPr>
        <w:tabs>
          <w:tab w:val="clear" w:pos="992"/>
          <w:tab w:val="num" w:pos="851"/>
        </w:tabs>
        <w:spacing w:before="120" w:after="120" w:line="240" w:lineRule="auto"/>
        <w:ind w:left="851" w:hanging="851"/>
        <w:rPr>
          <w:rFonts w:ascii="Arial" w:hAnsi="Arial" w:cs="Arial"/>
          <w:sz w:val="24"/>
          <w:szCs w:val="24"/>
        </w:rPr>
      </w:pPr>
      <w:r w:rsidRPr="005920A5">
        <w:rPr>
          <w:rFonts w:ascii="Arial" w:hAnsi="Arial" w:cs="Arial"/>
          <w:sz w:val="24"/>
          <w:szCs w:val="24"/>
        </w:rPr>
        <w:t xml:space="preserve">We have provided substantial assurance that the Pension Fund is properly administered and is well controlled. We assessed the controls in place to manage </w:t>
      </w:r>
      <w:r>
        <w:rPr>
          <w:rFonts w:ascii="Arial" w:hAnsi="Arial" w:cs="Arial"/>
          <w:sz w:val="24"/>
          <w:szCs w:val="24"/>
        </w:rPr>
        <w:t>a range of relevant</w:t>
      </w:r>
      <w:r w:rsidRPr="005920A5">
        <w:rPr>
          <w:rFonts w:ascii="Arial" w:hAnsi="Arial" w:cs="Arial"/>
          <w:sz w:val="24"/>
          <w:szCs w:val="24"/>
        </w:rPr>
        <w:t xml:space="preserve"> risks</w:t>
      </w:r>
      <w:r>
        <w:rPr>
          <w:rFonts w:ascii="Arial" w:hAnsi="Arial" w:cs="Arial"/>
          <w:sz w:val="24"/>
          <w:szCs w:val="24"/>
        </w:rPr>
        <w:t xml:space="preserve"> and to ensure that</w:t>
      </w:r>
      <w:r w:rsidRPr="005920A5">
        <w:rPr>
          <w:rFonts w:ascii="Arial" w:hAnsi="Arial" w:cs="Arial"/>
          <w:sz w:val="24"/>
          <w:szCs w:val="24"/>
        </w:rPr>
        <w:t>:</w:t>
      </w:r>
    </w:p>
    <w:p w:rsidR="005920A5" w:rsidRPr="005920A5" w:rsidRDefault="005920A5" w:rsidP="005920A5">
      <w:pPr>
        <w:pStyle w:val="ListParagraph"/>
        <w:numPr>
          <w:ilvl w:val="0"/>
          <w:numId w:val="41"/>
        </w:numPr>
        <w:spacing w:before="120" w:after="120"/>
        <w:ind w:left="1418" w:hanging="425"/>
        <w:rPr>
          <w:rFonts w:cs="Arial"/>
        </w:rPr>
      </w:pPr>
      <w:r w:rsidRPr="005920A5">
        <w:rPr>
          <w:rFonts w:cs="Arial"/>
        </w:rPr>
        <w:t xml:space="preserve">Eligible employees have been automatically enrolled into the pension scheme </w:t>
      </w:r>
      <w:r>
        <w:rPr>
          <w:rFonts w:cs="Arial"/>
        </w:rPr>
        <w:t xml:space="preserve">in accordance with the </w:t>
      </w:r>
      <w:r w:rsidR="007113C1">
        <w:rPr>
          <w:rFonts w:cs="Arial"/>
        </w:rPr>
        <w:t>regulations;</w:t>
      </w:r>
    </w:p>
    <w:p w:rsidR="005920A5" w:rsidRPr="005920A5" w:rsidRDefault="005920A5" w:rsidP="005920A5">
      <w:pPr>
        <w:pStyle w:val="ListParagraph"/>
        <w:numPr>
          <w:ilvl w:val="0"/>
          <w:numId w:val="41"/>
        </w:numPr>
        <w:spacing w:before="120" w:after="120"/>
        <w:ind w:left="1418" w:hanging="425"/>
        <w:rPr>
          <w:rFonts w:cs="Arial"/>
        </w:rPr>
      </w:pPr>
      <w:r>
        <w:rPr>
          <w:rFonts w:cs="Arial"/>
        </w:rPr>
        <w:t>Only e</w:t>
      </w:r>
      <w:r w:rsidRPr="005920A5">
        <w:rPr>
          <w:rFonts w:cs="Arial"/>
        </w:rPr>
        <w:t xml:space="preserve">ligible employees are </w:t>
      </w:r>
      <w:r w:rsidR="007113C1">
        <w:rPr>
          <w:rFonts w:cs="Arial"/>
        </w:rPr>
        <w:t>admitted to the pension scheme;</w:t>
      </w:r>
    </w:p>
    <w:p w:rsidR="005920A5" w:rsidRPr="005920A5" w:rsidRDefault="005920A5" w:rsidP="005920A5">
      <w:pPr>
        <w:pStyle w:val="ListParagraph"/>
        <w:numPr>
          <w:ilvl w:val="0"/>
          <w:numId w:val="41"/>
        </w:numPr>
        <w:spacing w:before="120" w:after="120"/>
        <w:ind w:left="1418" w:hanging="425"/>
        <w:rPr>
          <w:rFonts w:cs="Arial"/>
        </w:rPr>
      </w:pPr>
      <w:r w:rsidRPr="005920A5">
        <w:rPr>
          <w:rFonts w:cs="Arial"/>
        </w:rPr>
        <w:t>Employees who opt-out and retirees are removed cor</w:t>
      </w:r>
      <w:r w:rsidR="007113C1">
        <w:rPr>
          <w:rFonts w:cs="Arial"/>
        </w:rPr>
        <w:t>rectly from the pension scheme;</w:t>
      </w:r>
    </w:p>
    <w:p w:rsidR="005920A5" w:rsidRPr="005920A5" w:rsidRDefault="005920A5" w:rsidP="005920A5">
      <w:pPr>
        <w:pStyle w:val="ListParagraph"/>
        <w:numPr>
          <w:ilvl w:val="0"/>
          <w:numId w:val="41"/>
        </w:numPr>
        <w:spacing w:before="120" w:after="120"/>
        <w:ind w:left="1418" w:hanging="425"/>
        <w:rPr>
          <w:rFonts w:cs="Arial"/>
        </w:rPr>
      </w:pPr>
      <w:r w:rsidRPr="005920A5">
        <w:rPr>
          <w:rFonts w:cs="Arial"/>
        </w:rPr>
        <w:lastRenderedPageBreak/>
        <w:t xml:space="preserve">Transfers in are </w:t>
      </w:r>
      <w:r>
        <w:rPr>
          <w:rFonts w:cs="Arial"/>
        </w:rPr>
        <w:t>processed correctly, the funds are received and employees correctly accrue</w:t>
      </w:r>
      <w:r w:rsidRPr="005920A5">
        <w:rPr>
          <w:rFonts w:cs="Arial"/>
        </w:rPr>
        <w:t xml:space="preserve"> service credit</w:t>
      </w:r>
      <w:r w:rsidR="007113C1">
        <w:rPr>
          <w:rFonts w:cs="Arial"/>
        </w:rPr>
        <w:t>;</w:t>
      </w:r>
    </w:p>
    <w:p w:rsidR="005920A5" w:rsidRPr="005920A5" w:rsidRDefault="005920A5" w:rsidP="005920A5">
      <w:pPr>
        <w:pStyle w:val="ListParagraph"/>
        <w:numPr>
          <w:ilvl w:val="0"/>
          <w:numId w:val="41"/>
        </w:numPr>
        <w:spacing w:before="120" w:after="120"/>
        <w:ind w:left="1418" w:hanging="425"/>
        <w:rPr>
          <w:rFonts w:cs="Arial"/>
        </w:rPr>
      </w:pPr>
      <w:r w:rsidRPr="005920A5">
        <w:rPr>
          <w:rFonts w:cs="Arial"/>
        </w:rPr>
        <w:t>Transfers out are processed correctly</w:t>
      </w:r>
      <w:r w:rsidR="007113C1">
        <w:rPr>
          <w:rFonts w:cs="Arial"/>
        </w:rPr>
        <w:t>;</w:t>
      </w:r>
    </w:p>
    <w:p w:rsidR="005920A5" w:rsidRPr="005920A5" w:rsidRDefault="005920A5" w:rsidP="005920A5">
      <w:pPr>
        <w:pStyle w:val="ListParagraph"/>
        <w:numPr>
          <w:ilvl w:val="0"/>
          <w:numId w:val="41"/>
        </w:numPr>
        <w:spacing w:before="120" w:after="120"/>
        <w:ind w:left="1418" w:hanging="425"/>
        <w:rPr>
          <w:rFonts w:cs="Arial"/>
        </w:rPr>
      </w:pPr>
      <w:r w:rsidRPr="005920A5">
        <w:rPr>
          <w:rFonts w:cs="Arial"/>
        </w:rPr>
        <w:t>Retirement payments are calculated and</w:t>
      </w:r>
      <w:r>
        <w:rPr>
          <w:rFonts w:cs="Arial"/>
        </w:rPr>
        <w:t xml:space="preserve"> </w:t>
      </w:r>
      <w:r w:rsidRPr="005920A5">
        <w:rPr>
          <w:rFonts w:cs="Arial"/>
        </w:rPr>
        <w:t>paid correctly</w:t>
      </w:r>
      <w:r w:rsidR="007113C1">
        <w:rPr>
          <w:rFonts w:cs="Arial"/>
        </w:rPr>
        <w:t>;</w:t>
      </w:r>
    </w:p>
    <w:p w:rsidR="005920A5" w:rsidRPr="005920A5" w:rsidRDefault="005920A5" w:rsidP="005920A5">
      <w:pPr>
        <w:pStyle w:val="ListParagraph"/>
        <w:numPr>
          <w:ilvl w:val="0"/>
          <w:numId w:val="41"/>
        </w:numPr>
        <w:spacing w:before="120" w:after="120"/>
        <w:ind w:left="1418" w:hanging="425"/>
        <w:rPr>
          <w:rFonts w:cs="Arial"/>
        </w:rPr>
      </w:pPr>
      <w:r w:rsidRPr="005920A5">
        <w:rPr>
          <w:rFonts w:cs="Arial"/>
        </w:rPr>
        <w:t>Death grants are calculated and paid correctly</w:t>
      </w:r>
      <w:r w:rsidR="007113C1">
        <w:rPr>
          <w:rFonts w:cs="Arial"/>
        </w:rPr>
        <w:t>; and,</w:t>
      </w:r>
    </w:p>
    <w:p w:rsidR="005920A5" w:rsidRPr="005920A5" w:rsidRDefault="005920A5" w:rsidP="005920A5">
      <w:pPr>
        <w:pStyle w:val="ListParagraph"/>
        <w:numPr>
          <w:ilvl w:val="0"/>
          <w:numId w:val="41"/>
        </w:numPr>
        <w:spacing w:before="120" w:after="120"/>
        <w:ind w:left="1418" w:hanging="425"/>
        <w:rPr>
          <w:rFonts w:cs="Arial"/>
        </w:rPr>
      </w:pPr>
      <w:r w:rsidRPr="005920A5">
        <w:rPr>
          <w:rFonts w:cs="Arial"/>
        </w:rPr>
        <w:t xml:space="preserve">Contributions are properly monitored. </w:t>
      </w:r>
    </w:p>
    <w:p w:rsidR="007113C1" w:rsidRDefault="007113C1" w:rsidP="007113C1">
      <w:pPr>
        <w:pStyle w:val="Heading3"/>
        <w:tabs>
          <w:tab w:val="left" w:pos="284"/>
        </w:tabs>
        <w:spacing w:after="120"/>
        <w:rPr>
          <w:sz w:val="24"/>
          <w:szCs w:val="24"/>
        </w:rPr>
      </w:pPr>
      <w:r>
        <w:rPr>
          <w:sz w:val="24"/>
          <w:szCs w:val="24"/>
        </w:rPr>
        <w:t>The accounting system</w:t>
      </w:r>
    </w:p>
    <w:p w:rsidR="005920A5" w:rsidRDefault="007113C1" w:rsidP="007940B7">
      <w:pPr>
        <w:numPr>
          <w:ilvl w:val="1"/>
          <w:numId w:val="23"/>
        </w:numPr>
        <w:tabs>
          <w:tab w:val="clear" w:pos="992"/>
          <w:tab w:val="num" w:pos="851"/>
        </w:tabs>
        <w:spacing w:before="120" w:after="120" w:line="240" w:lineRule="auto"/>
        <w:ind w:left="851" w:hanging="851"/>
        <w:rPr>
          <w:rFonts w:ascii="Arial" w:hAnsi="Arial" w:cs="Arial"/>
          <w:sz w:val="24"/>
          <w:szCs w:val="24"/>
        </w:rPr>
      </w:pPr>
      <w:r>
        <w:rPr>
          <w:rFonts w:ascii="Arial" w:hAnsi="Arial" w:cs="Arial"/>
          <w:sz w:val="24"/>
          <w:szCs w:val="24"/>
        </w:rPr>
        <w:t xml:space="preserve">We have provided </w:t>
      </w:r>
      <w:r w:rsidRPr="005920A5">
        <w:rPr>
          <w:rFonts w:ascii="Arial" w:hAnsi="Arial" w:cs="Arial"/>
          <w:sz w:val="24"/>
          <w:szCs w:val="24"/>
        </w:rPr>
        <w:t xml:space="preserve">substantial assurance </w:t>
      </w:r>
      <w:r>
        <w:rPr>
          <w:rFonts w:ascii="Arial" w:hAnsi="Arial" w:cs="Arial"/>
          <w:sz w:val="24"/>
          <w:szCs w:val="24"/>
        </w:rPr>
        <w:t>over the operation of the accounting system supporting the Pension Fund, covering the following areas of control:</w:t>
      </w:r>
    </w:p>
    <w:p w:rsidR="007113C1" w:rsidRPr="007113C1" w:rsidRDefault="007113C1" w:rsidP="007113C1">
      <w:pPr>
        <w:pStyle w:val="ListParagraph"/>
        <w:numPr>
          <w:ilvl w:val="0"/>
          <w:numId w:val="41"/>
        </w:numPr>
        <w:spacing w:before="120" w:after="120"/>
        <w:ind w:left="1418" w:hanging="425"/>
        <w:rPr>
          <w:rFonts w:cs="Arial"/>
        </w:rPr>
      </w:pPr>
      <w:r>
        <w:rPr>
          <w:rFonts w:cs="Arial"/>
        </w:rPr>
        <w:t>Ac</w:t>
      </w:r>
      <w:r w:rsidRPr="007113C1">
        <w:rPr>
          <w:rFonts w:cs="Arial"/>
        </w:rPr>
        <w:t>cess rights are appropriate to job roles and are adequately sup</w:t>
      </w:r>
      <w:r>
        <w:rPr>
          <w:rFonts w:cs="Arial"/>
        </w:rPr>
        <w:t>ervised and authorised;</w:t>
      </w:r>
    </w:p>
    <w:p w:rsidR="007113C1" w:rsidRPr="007113C1" w:rsidRDefault="007113C1" w:rsidP="007113C1">
      <w:pPr>
        <w:pStyle w:val="ListParagraph"/>
        <w:numPr>
          <w:ilvl w:val="0"/>
          <w:numId w:val="41"/>
        </w:numPr>
        <w:spacing w:before="120" w:after="120"/>
        <w:ind w:left="1418" w:hanging="425"/>
        <w:rPr>
          <w:rFonts w:cs="Arial"/>
        </w:rPr>
      </w:pPr>
      <w:r>
        <w:rPr>
          <w:rFonts w:cs="Arial"/>
        </w:rPr>
        <w:lastRenderedPageBreak/>
        <w:t>The</w:t>
      </w:r>
      <w:r w:rsidRPr="007113C1">
        <w:rPr>
          <w:rFonts w:cs="Arial"/>
        </w:rPr>
        <w:t xml:space="preserve"> creation, amendment </w:t>
      </w:r>
      <w:r>
        <w:rPr>
          <w:rFonts w:cs="Arial"/>
        </w:rPr>
        <w:t xml:space="preserve">and </w:t>
      </w:r>
      <w:r w:rsidRPr="007113C1">
        <w:rPr>
          <w:rFonts w:cs="Arial"/>
        </w:rPr>
        <w:t>disabl</w:t>
      </w:r>
      <w:r>
        <w:rPr>
          <w:rFonts w:cs="Arial"/>
        </w:rPr>
        <w:t>ing</w:t>
      </w:r>
      <w:r w:rsidRPr="007113C1">
        <w:rPr>
          <w:rFonts w:cs="Arial"/>
        </w:rPr>
        <w:t xml:space="preserve"> of codes on the general ledger</w:t>
      </w:r>
      <w:r>
        <w:rPr>
          <w:rFonts w:cs="Arial"/>
        </w:rPr>
        <w:t xml:space="preserve"> are appropriately authorised;</w:t>
      </w:r>
    </w:p>
    <w:p w:rsidR="007113C1" w:rsidRPr="007113C1" w:rsidRDefault="007113C1" w:rsidP="007113C1">
      <w:pPr>
        <w:pStyle w:val="ListParagraph"/>
        <w:numPr>
          <w:ilvl w:val="0"/>
          <w:numId w:val="41"/>
        </w:numPr>
        <w:spacing w:before="120" w:after="120"/>
        <w:ind w:left="1418" w:hanging="425"/>
        <w:rPr>
          <w:rFonts w:cs="Arial"/>
        </w:rPr>
      </w:pPr>
      <w:r w:rsidRPr="007113C1">
        <w:rPr>
          <w:rFonts w:cs="Arial"/>
        </w:rPr>
        <w:t>The system automatically prevents</w:t>
      </w:r>
      <w:r>
        <w:rPr>
          <w:rFonts w:cs="Arial"/>
        </w:rPr>
        <w:t xml:space="preserve"> or </w:t>
      </w:r>
      <w:r w:rsidRPr="007113C1">
        <w:rPr>
          <w:rFonts w:cs="Arial"/>
        </w:rPr>
        <w:t>corrects</w:t>
      </w:r>
      <w:r>
        <w:rPr>
          <w:rFonts w:cs="Arial"/>
        </w:rPr>
        <w:t xml:space="preserve"> and </w:t>
      </w:r>
      <w:r w:rsidRPr="007113C1">
        <w:rPr>
          <w:rFonts w:cs="Arial"/>
        </w:rPr>
        <w:t>reports debit/</w:t>
      </w:r>
      <w:r>
        <w:rPr>
          <w:rFonts w:cs="Arial"/>
        </w:rPr>
        <w:t xml:space="preserve"> </w:t>
      </w:r>
      <w:r w:rsidRPr="007113C1">
        <w:rPr>
          <w:rFonts w:cs="Arial"/>
        </w:rPr>
        <w:t xml:space="preserve">credit imbalances, errors </w:t>
      </w:r>
      <w:r>
        <w:rPr>
          <w:rFonts w:cs="Arial"/>
        </w:rPr>
        <w:t>and invalid postings;</w:t>
      </w:r>
    </w:p>
    <w:p w:rsidR="007113C1" w:rsidRPr="007113C1" w:rsidRDefault="007113C1" w:rsidP="007113C1">
      <w:pPr>
        <w:pStyle w:val="ListParagraph"/>
        <w:numPr>
          <w:ilvl w:val="0"/>
          <w:numId w:val="41"/>
        </w:numPr>
        <w:spacing w:before="120" w:after="120"/>
        <w:ind w:left="1418" w:hanging="425"/>
        <w:rPr>
          <w:rFonts w:cs="Arial"/>
        </w:rPr>
      </w:pPr>
      <w:r w:rsidRPr="007113C1">
        <w:rPr>
          <w:rFonts w:cs="Arial"/>
        </w:rPr>
        <w:t xml:space="preserve">The system provides </w:t>
      </w:r>
      <w:r>
        <w:rPr>
          <w:rFonts w:cs="Arial"/>
        </w:rPr>
        <w:t>appropriate</w:t>
      </w:r>
      <w:r w:rsidRPr="007113C1">
        <w:rPr>
          <w:rFonts w:cs="Arial"/>
        </w:rPr>
        <w:t xml:space="preserve"> hierarchies</w:t>
      </w:r>
      <w:r>
        <w:rPr>
          <w:rFonts w:cs="Arial"/>
        </w:rPr>
        <w:t xml:space="preserve"> </w:t>
      </w:r>
      <w:r w:rsidRPr="007113C1">
        <w:rPr>
          <w:rFonts w:cs="Arial"/>
        </w:rPr>
        <w:t>for all services,</w:t>
      </w:r>
      <w:r>
        <w:rPr>
          <w:rFonts w:cs="Arial"/>
        </w:rPr>
        <w:t xml:space="preserve"> enabling</w:t>
      </w:r>
      <w:r w:rsidRPr="007113C1">
        <w:rPr>
          <w:rFonts w:cs="Arial"/>
        </w:rPr>
        <w:t xml:space="preserve"> the current position in respect of income and expenditure to be reported; </w:t>
      </w:r>
    </w:p>
    <w:p w:rsidR="007113C1" w:rsidRPr="007113C1" w:rsidRDefault="007113C1" w:rsidP="007113C1">
      <w:pPr>
        <w:pStyle w:val="ListParagraph"/>
        <w:numPr>
          <w:ilvl w:val="0"/>
          <w:numId w:val="41"/>
        </w:numPr>
        <w:spacing w:before="120" w:after="120"/>
        <w:ind w:left="1418" w:hanging="425"/>
        <w:rPr>
          <w:rFonts w:cs="Arial"/>
        </w:rPr>
      </w:pPr>
      <w:r w:rsidRPr="007113C1">
        <w:rPr>
          <w:rFonts w:cs="Arial"/>
        </w:rPr>
        <w:t xml:space="preserve">Feeder files are posted and reconciled to the general ledger on a timely basis; </w:t>
      </w:r>
    </w:p>
    <w:p w:rsidR="007113C1" w:rsidRPr="007113C1" w:rsidRDefault="007113C1" w:rsidP="007113C1">
      <w:pPr>
        <w:pStyle w:val="ListParagraph"/>
        <w:numPr>
          <w:ilvl w:val="0"/>
          <w:numId w:val="41"/>
        </w:numPr>
        <w:spacing w:before="120" w:after="120"/>
        <w:ind w:left="1418" w:hanging="425"/>
        <w:rPr>
          <w:rFonts w:cs="Arial"/>
        </w:rPr>
      </w:pPr>
      <w:r w:rsidRPr="007113C1">
        <w:rPr>
          <w:rFonts w:cs="Arial"/>
        </w:rPr>
        <w:t xml:space="preserve">Sub-ledgers are reconciled to the general ledger; </w:t>
      </w:r>
    </w:p>
    <w:p w:rsidR="007113C1" w:rsidRPr="007113C1" w:rsidRDefault="007113C1" w:rsidP="007113C1">
      <w:pPr>
        <w:pStyle w:val="ListParagraph"/>
        <w:numPr>
          <w:ilvl w:val="0"/>
          <w:numId w:val="41"/>
        </w:numPr>
        <w:spacing w:before="120" w:after="120"/>
        <w:ind w:left="1418" w:hanging="425"/>
        <w:rPr>
          <w:rFonts w:cs="Arial"/>
        </w:rPr>
      </w:pPr>
      <w:r w:rsidRPr="007113C1">
        <w:rPr>
          <w:rFonts w:cs="Arial"/>
        </w:rPr>
        <w:t xml:space="preserve">Journal entries are </w:t>
      </w:r>
      <w:r>
        <w:rPr>
          <w:rFonts w:cs="Arial"/>
        </w:rPr>
        <w:t xml:space="preserve">properly </w:t>
      </w:r>
      <w:r w:rsidRPr="007113C1">
        <w:rPr>
          <w:rFonts w:cs="Arial"/>
        </w:rPr>
        <w:t xml:space="preserve">processed and can be traced to the originators and reasons for posting; and, </w:t>
      </w:r>
    </w:p>
    <w:p w:rsidR="007113C1" w:rsidRPr="007113C1" w:rsidRDefault="007113C1" w:rsidP="007113C1">
      <w:pPr>
        <w:pStyle w:val="ListParagraph"/>
        <w:numPr>
          <w:ilvl w:val="0"/>
          <w:numId w:val="41"/>
        </w:numPr>
        <w:spacing w:before="120" w:after="120"/>
        <w:ind w:left="1418" w:hanging="425"/>
        <w:rPr>
          <w:rFonts w:cs="Arial"/>
        </w:rPr>
      </w:pPr>
      <w:r w:rsidRPr="007113C1">
        <w:rPr>
          <w:rFonts w:cs="Arial"/>
        </w:rPr>
        <w:lastRenderedPageBreak/>
        <w:t xml:space="preserve">Holding or suspense accounts are </w:t>
      </w:r>
      <w:r>
        <w:rPr>
          <w:rFonts w:cs="Arial"/>
        </w:rPr>
        <w:t xml:space="preserve">regularly </w:t>
      </w:r>
      <w:r w:rsidRPr="007113C1">
        <w:rPr>
          <w:rFonts w:cs="Arial"/>
        </w:rPr>
        <w:t>reviewed and cleared</w:t>
      </w:r>
      <w:r>
        <w:rPr>
          <w:rFonts w:cs="Arial"/>
        </w:rPr>
        <w:t>.</w:t>
      </w:r>
    </w:p>
    <w:p w:rsidR="007113C1" w:rsidRPr="00004651" w:rsidRDefault="00004651" w:rsidP="00004651">
      <w:pPr>
        <w:pStyle w:val="Heading3"/>
        <w:tabs>
          <w:tab w:val="left" w:pos="284"/>
        </w:tabs>
        <w:spacing w:after="120"/>
        <w:rPr>
          <w:sz w:val="24"/>
          <w:szCs w:val="24"/>
        </w:rPr>
      </w:pPr>
      <w:r w:rsidRPr="00004651">
        <w:rPr>
          <w:sz w:val="24"/>
          <w:szCs w:val="24"/>
        </w:rPr>
        <w:t>Investment management</w:t>
      </w:r>
    </w:p>
    <w:p w:rsidR="00004651" w:rsidRDefault="00004651" w:rsidP="00004651">
      <w:pPr>
        <w:numPr>
          <w:ilvl w:val="1"/>
          <w:numId w:val="23"/>
        </w:numPr>
        <w:tabs>
          <w:tab w:val="clear" w:pos="992"/>
          <w:tab w:val="num" w:pos="851"/>
        </w:tabs>
        <w:spacing w:before="120" w:after="120" w:line="240" w:lineRule="auto"/>
        <w:ind w:left="851" w:hanging="851"/>
        <w:rPr>
          <w:rFonts w:ascii="Arial" w:hAnsi="Arial" w:cs="Arial"/>
          <w:sz w:val="24"/>
          <w:szCs w:val="24"/>
        </w:rPr>
      </w:pPr>
      <w:r w:rsidRPr="00004651">
        <w:rPr>
          <w:rFonts w:ascii="Arial" w:hAnsi="Arial" w:cs="Arial"/>
          <w:sz w:val="24"/>
          <w:szCs w:val="24"/>
        </w:rPr>
        <w:t xml:space="preserve">We reviewed the Fund's arrangements for monitoring </w:t>
      </w:r>
      <w:r>
        <w:rPr>
          <w:rFonts w:ascii="Arial" w:hAnsi="Arial" w:cs="Arial"/>
          <w:sz w:val="24"/>
          <w:szCs w:val="24"/>
        </w:rPr>
        <w:t>its</w:t>
      </w:r>
      <w:r w:rsidRPr="00004651">
        <w:rPr>
          <w:rFonts w:ascii="Arial" w:hAnsi="Arial" w:cs="Arial"/>
          <w:sz w:val="24"/>
          <w:szCs w:val="24"/>
        </w:rPr>
        <w:t xml:space="preserve"> investments in non-investment grade assets (secured loans, emerging markets, impaired credit) and infrastructure, to ensure that </w:t>
      </w:r>
      <w:r>
        <w:rPr>
          <w:rFonts w:ascii="Arial" w:hAnsi="Arial" w:cs="Arial"/>
          <w:sz w:val="24"/>
          <w:szCs w:val="24"/>
        </w:rPr>
        <w:t xml:space="preserve">these investments remain appropriate and their performance meets targets. Since 2010 </w:t>
      </w:r>
      <w:r w:rsidRPr="00004651">
        <w:rPr>
          <w:rFonts w:ascii="Arial" w:hAnsi="Arial" w:cs="Arial"/>
          <w:sz w:val="24"/>
          <w:szCs w:val="24"/>
        </w:rPr>
        <w:t>investments have been made in sixteen non-investment grade funds/ assets with a value of approximately £775 million and ten infrastructure assets with a value of approximately £315 million as at June 2014.</w:t>
      </w:r>
    </w:p>
    <w:p w:rsidR="00FD7993" w:rsidRDefault="00FD7993" w:rsidP="00004651">
      <w:pPr>
        <w:numPr>
          <w:ilvl w:val="1"/>
          <w:numId w:val="23"/>
        </w:numPr>
        <w:tabs>
          <w:tab w:val="clear" w:pos="992"/>
          <w:tab w:val="num" w:pos="851"/>
        </w:tabs>
        <w:spacing w:before="120" w:after="120" w:line="240" w:lineRule="auto"/>
        <w:ind w:left="851" w:hanging="851"/>
        <w:rPr>
          <w:rFonts w:ascii="Arial" w:hAnsi="Arial" w:cs="Arial"/>
          <w:sz w:val="24"/>
          <w:szCs w:val="24"/>
        </w:rPr>
      </w:pPr>
      <w:r>
        <w:rPr>
          <w:rFonts w:ascii="Arial" w:hAnsi="Arial" w:cs="Arial"/>
          <w:sz w:val="24"/>
          <w:szCs w:val="24"/>
        </w:rPr>
        <w:t xml:space="preserve">At the time of </w:t>
      </w:r>
      <w:r w:rsidR="00012E54">
        <w:rPr>
          <w:rFonts w:ascii="Arial" w:hAnsi="Arial" w:cs="Arial"/>
          <w:sz w:val="24"/>
          <w:szCs w:val="24"/>
        </w:rPr>
        <w:t>this work</w:t>
      </w:r>
      <w:r>
        <w:rPr>
          <w:rFonts w:ascii="Arial" w:hAnsi="Arial" w:cs="Arial"/>
          <w:sz w:val="24"/>
          <w:szCs w:val="24"/>
        </w:rPr>
        <w:t>, a formal system was still being developed and investment analysts recruited, and we provided some additional suggestions to support</w:t>
      </w:r>
      <w:r w:rsidR="00D27427">
        <w:rPr>
          <w:rFonts w:ascii="Arial" w:hAnsi="Arial" w:cs="Arial"/>
          <w:sz w:val="24"/>
          <w:szCs w:val="24"/>
        </w:rPr>
        <w:t xml:space="preserve"> </w:t>
      </w:r>
      <w:r w:rsidR="00D27427">
        <w:rPr>
          <w:rFonts w:ascii="Arial" w:hAnsi="Arial" w:cs="Arial"/>
          <w:sz w:val="24"/>
          <w:szCs w:val="24"/>
        </w:rPr>
        <w:lastRenderedPageBreak/>
        <w:t>this</w:t>
      </w:r>
      <w:r>
        <w:rPr>
          <w:rFonts w:ascii="Arial" w:hAnsi="Arial" w:cs="Arial"/>
          <w:sz w:val="24"/>
          <w:szCs w:val="24"/>
        </w:rPr>
        <w:t>.</w:t>
      </w:r>
      <w:r w:rsidR="00012E54">
        <w:rPr>
          <w:rFonts w:ascii="Arial" w:hAnsi="Arial" w:cs="Arial"/>
          <w:sz w:val="24"/>
          <w:szCs w:val="24"/>
        </w:rPr>
        <w:t xml:space="preserve"> Further audit work on this area will be undertaken during 2015/16.</w:t>
      </w:r>
    </w:p>
    <w:p w:rsidR="00012E54" w:rsidRPr="00D27427" w:rsidRDefault="00012E54" w:rsidP="00C6448C">
      <w:pPr>
        <w:numPr>
          <w:ilvl w:val="1"/>
          <w:numId w:val="23"/>
        </w:numPr>
        <w:tabs>
          <w:tab w:val="clear" w:pos="992"/>
          <w:tab w:val="num" w:pos="851"/>
        </w:tabs>
        <w:spacing w:before="120" w:after="120" w:line="240" w:lineRule="auto"/>
        <w:ind w:left="851" w:hanging="851"/>
        <w:rPr>
          <w:rFonts w:ascii="Arial" w:hAnsi="Arial" w:cs="Arial"/>
          <w:sz w:val="24"/>
          <w:szCs w:val="24"/>
        </w:rPr>
      </w:pPr>
      <w:r w:rsidRPr="00D27427">
        <w:rPr>
          <w:rFonts w:ascii="Arial" w:hAnsi="Arial" w:cs="Arial"/>
          <w:sz w:val="24"/>
          <w:szCs w:val="24"/>
        </w:rPr>
        <w:t>However we provided full assurance over the re-tendering and procurement of a property fund investment manager</w:t>
      </w:r>
      <w:r w:rsidR="00D27427" w:rsidRPr="00D27427">
        <w:rPr>
          <w:rFonts w:ascii="Arial" w:hAnsi="Arial" w:cs="Arial"/>
          <w:sz w:val="24"/>
          <w:szCs w:val="24"/>
        </w:rPr>
        <w:t xml:space="preserve">. Controls were operated effectively to ensure that </w:t>
      </w:r>
      <w:r w:rsidR="00D27427">
        <w:rPr>
          <w:rFonts w:ascii="Arial" w:hAnsi="Arial" w:cs="Arial"/>
          <w:sz w:val="24"/>
          <w:szCs w:val="24"/>
        </w:rPr>
        <w:t>t</w:t>
      </w:r>
      <w:r w:rsidRPr="00D27427">
        <w:rPr>
          <w:rFonts w:ascii="Arial" w:hAnsi="Arial" w:cs="Arial"/>
          <w:sz w:val="24"/>
          <w:szCs w:val="24"/>
        </w:rPr>
        <w:t xml:space="preserve">he tender was </w:t>
      </w:r>
      <w:r w:rsidR="00D27427">
        <w:rPr>
          <w:rFonts w:ascii="Arial" w:hAnsi="Arial" w:cs="Arial"/>
          <w:sz w:val="24"/>
          <w:szCs w:val="24"/>
        </w:rPr>
        <w:t xml:space="preserve">process operated in full </w:t>
      </w:r>
      <w:r w:rsidRPr="00D27427">
        <w:rPr>
          <w:rFonts w:ascii="Arial" w:hAnsi="Arial" w:cs="Arial"/>
          <w:sz w:val="24"/>
          <w:szCs w:val="24"/>
        </w:rPr>
        <w:t>compliance with Lancashire County Council, UK and European Union public procurement regulations</w:t>
      </w:r>
      <w:r w:rsidR="00D27427">
        <w:rPr>
          <w:rFonts w:ascii="Arial" w:hAnsi="Arial" w:cs="Arial"/>
          <w:sz w:val="24"/>
          <w:szCs w:val="24"/>
        </w:rPr>
        <w:t>, and proper practices.</w:t>
      </w:r>
    </w:p>
    <w:p w:rsidR="00D77E7B" w:rsidRPr="003F12C1" w:rsidRDefault="00D77E7B" w:rsidP="003F12C1">
      <w:pPr>
        <w:pStyle w:val="Heading1"/>
        <w:numPr>
          <w:ilvl w:val="0"/>
          <w:numId w:val="23"/>
        </w:numPr>
        <w:tabs>
          <w:tab w:val="clear" w:pos="992"/>
          <w:tab w:val="num" w:pos="851"/>
        </w:tabs>
        <w:spacing w:after="120" w:line="240" w:lineRule="auto"/>
        <w:ind w:left="851" w:hanging="851"/>
        <w:rPr>
          <w:rFonts w:ascii="Arial" w:hAnsi="Arial" w:cs="Arial"/>
          <w:sz w:val="28"/>
          <w:szCs w:val="28"/>
        </w:rPr>
      </w:pPr>
      <w:r w:rsidRPr="003F12C1">
        <w:rPr>
          <w:rFonts w:ascii="Arial" w:hAnsi="Arial" w:cs="Arial"/>
          <w:sz w:val="28"/>
          <w:szCs w:val="28"/>
        </w:rPr>
        <w:t>Internal audit plan 201</w:t>
      </w:r>
      <w:r w:rsidR="00E118AB">
        <w:rPr>
          <w:rFonts w:ascii="Arial" w:hAnsi="Arial" w:cs="Arial"/>
          <w:sz w:val="28"/>
          <w:szCs w:val="28"/>
        </w:rPr>
        <w:t>5</w:t>
      </w:r>
      <w:r w:rsidRPr="003F12C1">
        <w:rPr>
          <w:rFonts w:ascii="Arial" w:hAnsi="Arial" w:cs="Arial"/>
          <w:sz w:val="28"/>
          <w:szCs w:val="28"/>
        </w:rPr>
        <w:t>/1</w:t>
      </w:r>
      <w:r w:rsidR="00E118AB">
        <w:rPr>
          <w:rFonts w:ascii="Arial" w:hAnsi="Arial" w:cs="Arial"/>
          <w:sz w:val="28"/>
          <w:szCs w:val="28"/>
        </w:rPr>
        <w:t>6</w:t>
      </w:r>
    </w:p>
    <w:p w:rsidR="00E118AB" w:rsidRPr="00E118AB" w:rsidRDefault="00D77E7B" w:rsidP="00352F03">
      <w:pPr>
        <w:numPr>
          <w:ilvl w:val="1"/>
          <w:numId w:val="23"/>
        </w:numPr>
        <w:tabs>
          <w:tab w:val="clear" w:pos="992"/>
          <w:tab w:val="num" w:pos="851"/>
        </w:tabs>
        <w:spacing w:before="120" w:after="120" w:line="240" w:lineRule="auto"/>
        <w:ind w:left="851" w:hanging="851"/>
        <w:rPr>
          <w:rFonts w:ascii="Arial" w:hAnsi="Arial" w:cs="Arial"/>
          <w:sz w:val="24"/>
          <w:szCs w:val="24"/>
        </w:rPr>
      </w:pPr>
      <w:r w:rsidRPr="00E118AB">
        <w:rPr>
          <w:rFonts w:ascii="Arial" w:hAnsi="Arial" w:cs="Arial"/>
          <w:sz w:val="24"/>
          <w:szCs w:val="24"/>
        </w:rPr>
        <w:t xml:space="preserve">The </w:t>
      </w:r>
      <w:r w:rsidR="005B29AA">
        <w:rPr>
          <w:rFonts w:ascii="Arial" w:hAnsi="Arial" w:cs="Arial"/>
          <w:sz w:val="24"/>
          <w:szCs w:val="24"/>
        </w:rPr>
        <w:t xml:space="preserve">internal audit </w:t>
      </w:r>
      <w:r w:rsidRPr="00E118AB">
        <w:rPr>
          <w:rFonts w:ascii="Arial" w:hAnsi="Arial" w:cs="Arial"/>
          <w:sz w:val="24"/>
          <w:szCs w:val="24"/>
        </w:rPr>
        <w:t xml:space="preserve">plan </w:t>
      </w:r>
      <w:r w:rsidR="005B29AA">
        <w:rPr>
          <w:rFonts w:ascii="Arial" w:hAnsi="Arial" w:cs="Arial"/>
          <w:sz w:val="24"/>
          <w:szCs w:val="24"/>
        </w:rPr>
        <w:t xml:space="preserve">for 2015/16 </w:t>
      </w:r>
      <w:r w:rsidR="00E118AB" w:rsidRPr="00E118AB">
        <w:rPr>
          <w:rFonts w:ascii="Arial" w:hAnsi="Arial" w:cs="Arial"/>
          <w:sz w:val="24"/>
          <w:szCs w:val="24"/>
        </w:rPr>
        <w:t xml:space="preserve">will </w:t>
      </w:r>
      <w:r w:rsidR="00620433" w:rsidRPr="00E118AB">
        <w:rPr>
          <w:rFonts w:ascii="Arial" w:hAnsi="Arial" w:cs="Arial"/>
          <w:sz w:val="24"/>
          <w:szCs w:val="24"/>
        </w:rPr>
        <w:t xml:space="preserve">again </w:t>
      </w:r>
      <w:r w:rsidR="00E118AB" w:rsidRPr="00E118AB">
        <w:rPr>
          <w:rFonts w:ascii="Arial" w:hAnsi="Arial" w:cs="Arial"/>
          <w:sz w:val="24"/>
          <w:szCs w:val="24"/>
        </w:rPr>
        <w:t xml:space="preserve">focus </w:t>
      </w:r>
      <w:r w:rsidRPr="00E118AB">
        <w:rPr>
          <w:rFonts w:ascii="Arial" w:hAnsi="Arial" w:cs="Arial"/>
          <w:sz w:val="24"/>
          <w:szCs w:val="24"/>
        </w:rPr>
        <w:t xml:space="preserve">on </w:t>
      </w:r>
      <w:r w:rsidR="00E118AB" w:rsidRPr="00E118AB">
        <w:rPr>
          <w:rFonts w:ascii="Arial" w:hAnsi="Arial" w:cs="Arial"/>
          <w:sz w:val="24"/>
          <w:szCs w:val="24"/>
        </w:rPr>
        <w:t xml:space="preserve">the administration of the Fund for its members, the core accounting system supporting it, and oversight of the investments </w:t>
      </w:r>
      <w:r w:rsidR="00E118AB" w:rsidRPr="00D27427">
        <w:rPr>
          <w:rFonts w:ascii="Arial" w:hAnsi="Arial" w:cs="Arial"/>
          <w:sz w:val="24"/>
          <w:szCs w:val="24"/>
        </w:rPr>
        <w:t>supporting the Fund, as well as following up the actions taken in response to our work in 2014/15.</w:t>
      </w:r>
      <w:r w:rsidR="00012E54" w:rsidRPr="00D27427">
        <w:rPr>
          <w:rFonts w:ascii="Arial" w:hAnsi="Arial" w:cs="Arial"/>
          <w:sz w:val="24"/>
          <w:szCs w:val="24"/>
        </w:rPr>
        <w:t xml:space="preserve"> We will specifically review the Fund's arrangements for monitoring its investments in </w:t>
      </w:r>
      <w:r w:rsidR="00012E54" w:rsidRPr="00D27427">
        <w:rPr>
          <w:rFonts w:ascii="Arial" w:hAnsi="Arial" w:cs="Arial"/>
          <w:sz w:val="24"/>
          <w:szCs w:val="24"/>
        </w:rPr>
        <w:lastRenderedPageBreak/>
        <w:t xml:space="preserve">non-investment grade assets as noted in </w:t>
      </w:r>
      <w:r w:rsidR="005B29AA">
        <w:rPr>
          <w:rFonts w:ascii="Arial" w:hAnsi="Arial" w:cs="Arial"/>
          <w:sz w:val="24"/>
          <w:szCs w:val="24"/>
        </w:rPr>
        <w:t xml:space="preserve">paragraph </w:t>
      </w:r>
      <w:r w:rsidR="00012E54" w:rsidRPr="00D27427">
        <w:rPr>
          <w:rFonts w:ascii="Arial" w:hAnsi="Arial" w:cs="Arial"/>
          <w:sz w:val="24"/>
          <w:szCs w:val="24"/>
        </w:rPr>
        <w:t>3.4 above</w:t>
      </w:r>
      <w:r w:rsidR="00012E54">
        <w:rPr>
          <w:rFonts w:ascii="Arial" w:hAnsi="Arial" w:cs="Arial"/>
          <w:sz w:val="24"/>
          <w:szCs w:val="24"/>
        </w:rPr>
        <w:t>.</w:t>
      </w:r>
    </w:p>
    <w:p w:rsidR="00E118AB" w:rsidRDefault="00E118AB" w:rsidP="004F1888">
      <w:pPr>
        <w:numPr>
          <w:ilvl w:val="1"/>
          <w:numId w:val="23"/>
        </w:numPr>
        <w:tabs>
          <w:tab w:val="clear" w:pos="992"/>
          <w:tab w:val="num" w:pos="851"/>
        </w:tabs>
        <w:spacing w:before="120" w:after="120" w:line="240" w:lineRule="auto"/>
        <w:ind w:left="851" w:hanging="851"/>
        <w:rPr>
          <w:rFonts w:ascii="Arial" w:hAnsi="Arial" w:cs="Arial"/>
          <w:sz w:val="24"/>
          <w:szCs w:val="24"/>
        </w:rPr>
      </w:pPr>
      <w:r w:rsidRPr="00916ED9">
        <w:rPr>
          <w:rFonts w:ascii="Arial" w:hAnsi="Arial" w:cs="Arial"/>
          <w:sz w:val="24"/>
          <w:szCs w:val="24"/>
        </w:rPr>
        <w:t xml:space="preserve">At this point, </w:t>
      </w:r>
      <w:r w:rsidR="00916ED9" w:rsidRPr="00916ED9">
        <w:rPr>
          <w:rFonts w:ascii="Arial" w:hAnsi="Arial" w:cs="Arial"/>
          <w:sz w:val="24"/>
          <w:szCs w:val="24"/>
        </w:rPr>
        <w:t xml:space="preserve">we have not planned specifically to address any further changes </w:t>
      </w:r>
      <w:r w:rsidR="003E5FDF">
        <w:rPr>
          <w:rFonts w:ascii="Arial" w:hAnsi="Arial" w:cs="Arial"/>
          <w:sz w:val="24"/>
          <w:szCs w:val="24"/>
        </w:rPr>
        <w:t xml:space="preserve">to the operation of the Fund </w:t>
      </w:r>
      <w:r w:rsidR="00916ED9" w:rsidRPr="00916ED9">
        <w:rPr>
          <w:rFonts w:ascii="Arial" w:hAnsi="Arial" w:cs="Arial"/>
          <w:sz w:val="24"/>
          <w:szCs w:val="24"/>
        </w:rPr>
        <w:t xml:space="preserve">(following, for example, the significant change to the calculation of members' pensions during 2014/15). However </w:t>
      </w:r>
      <w:r w:rsidRPr="00916ED9">
        <w:rPr>
          <w:rFonts w:ascii="Arial" w:hAnsi="Arial" w:cs="Arial"/>
          <w:sz w:val="24"/>
          <w:szCs w:val="24"/>
        </w:rPr>
        <w:t xml:space="preserve">we are aware that a number of significant developments are being considered that </w:t>
      </w:r>
      <w:r w:rsidR="00916ED9">
        <w:rPr>
          <w:rFonts w:ascii="Arial" w:hAnsi="Arial" w:cs="Arial"/>
          <w:sz w:val="24"/>
          <w:szCs w:val="24"/>
        </w:rPr>
        <w:t xml:space="preserve">could significantly </w:t>
      </w:r>
      <w:r w:rsidRPr="00916ED9">
        <w:rPr>
          <w:rFonts w:ascii="Arial" w:hAnsi="Arial" w:cs="Arial"/>
          <w:sz w:val="24"/>
          <w:szCs w:val="24"/>
        </w:rPr>
        <w:t xml:space="preserve">affect </w:t>
      </w:r>
      <w:r w:rsidR="00916ED9">
        <w:rPr>
          <w:rFonts w:ascii="Arial" w:hAnsi="Arial" w:cs="Arial"/>
          <w:sz w:val="24"/>
          <w:szCs w:val="24"/>
        </w:rPr>
        <w:t xml:space="preserve">the Pension Fund and </w:t>
      </w:r>
      <w:r w:rsidRPr="00916ED9">
        <w:rPr>
          <w:rFonts w:ascii="Arial" w:hAnsi="Arial" w:cs="Arial"/>
          <w:sz w:val="24"/>
          <w:szCs w:val="24"/>
        </w:rPr>
        <w:t>our work in future years</w:t>
      </w:r>
      <w:r w:rsidR="005B29AA">
        <w:rPr>
          <w:rFonts w:ascii="Arial" w:hAnsi="Arial" w:cs="Arial"/>
          <w:sz w:val="24"/>
          <w:szCs w:val="24"/>
        </w:rPr>
        <w:t>,</w:t>
      </w:r>
      <w:r w:rsidR="00D27427">
        <w:rPr>
          <w:rFonts w:ascii="Arial" w:hAnsi="Arial" w:cs="Arial"/>
          <w:sz w:val="24"/>
          <w:szCs w:val="24"/>
        </w:rPr>
        <w:t xml:space="preserve"> and that t</w:t>
      </w:r>
      <w:r w:rsidR="003E5FDF">
        <w:rPr>
          <w:rFonts w:ascii="Arial" w:hAnsi="Arial" w:cs="Arial"/>
          <w:sz w:val="24"/>
          <w:szCs w:val="24"/>
        </w:rPr>
        <w:t>he</w:t>
      </w:r>
      <w:r w:rsidR="00D27427">
        <w:rPr>
          <w:rFonts w:ascii="Arial" w:hAnsi="Arial" w:cs="Arial"/>
          <w:sz w:val="24"/>
          <w:szCs w:val="24"/>
        </w:rPr>
        <w:t xml:space="preserve"> Pension Fund's governance arrangements </w:t>
      </w:r>
      <w:r w:rsidR="003E5FDF">
        <w:rPr>
          <w:rFonts w:ascii="Arial" w:hAnsi="Arial" w:cs="Arial"/>
          <w:sz w:val="24"/>
          <w:szCs w:val="24"/>
        </w:rPr>
        <w:t xml:space="preserve">will </w:t>
      </w:r>
      <w:r w:rsidR="00D27427">
        <w:rPr>
          <w:rFonts w:ascii="Arial" w:hAnsi="Arial" w:cs="Arial"/>
          <w:sz w:val="24"/>
          <w:szCs w:val="24"/>
        </w:rPr>
        <w:t xml:space="preserve">in particular be affected by the </w:t>
      </w:r>
      <w:r w:rsidR="003E5FDF">
        <w:rPr>
          <w:rFonts w:ascii="Arial" w:hAnsi="Arial" w:cs="Arial"/>
          <w:sz w:val="24"/>
          <w:szCs w:val="24"/>
        </w:rPr>
        <w:t xml:space="preserve">creation of </w:t>
      </w:r>
      <w:r w:rsidR="00D27427">
        <w:rPr>
          <w:rFonts w:ascii="Arial" w:hAnsi="Arial" w:cs="Arial"/>
          <w:sz w:val="24"/>
          <w:szCs w:val="24"/>
        </w:rPr>
        <w:t>the new P</w:t>
      </w:r>
      <w:r w:rsidR="003E5FDF">
        <w:rPr>
          <w:rFonts w:ascii="Arial" w:hAnsi="Arial" w:cs="Arial"/>
          <w:sz w:val="24"/>
          <w:szCs w:val="24"/>
        </w:rPr>
        <w:t xml:space="preserve">ension </w:t>
      </w:r>
      <w:r w:rsidR="00D27427">
        <w:rPr>
          <w:rFonts w:ascii="Arial" w:hAnsi="Arial" w:cs="Arial"/>
          <w:sz w:val="24"/>
          <w:szCs w:val="24"/>
        </w:rPr>
        <w:t>B</w:t>
      </w:r>
      <w:r w:rsidR="003E5FDF">
        <w:rPr>
          <w:rFonts w:ascii="Arial" w:hAnsi="Arial" w:cs="Arial"/>
          <w:sz w:val="24"/>
          <w:szCs w:val="24"/>
        </w:rPr>
        <w:t>oard</w:t>
      </w:r>
      <w:r w:rsidRPr="00916ED9">
        <w:rPr>
          <w:rFonts w:ascii="Arial" w:hAnsi="Arial" w:cs="Arial"/>
          <w:sz w:val="24"/>
          <w:szCs w:val="24"/>
        </w:rPr>
        <w:t xml:space="preserve">. We will </w:t>
      </w:r>
      <w:r w:rsidR="00916ED9">
        <w:rPr>
          <w:rFonts w:ascii="Arial" w:hAnsi="Arial" w:cs="Arial"/>
          <w:sz w:val="24"/>
          <w:szCs w:val="24"/>
        </w:rPr>
        <w:t xml:space="preserve">of course undertake </w:t>
      </w:r>
      <w:r w:rsidRPr="00916ED9">
        <w:rPr>
          <w:rFonts w:ascii="Arial" w:hAnsi="Arial" w:cs="Arial"/>
          <w:sz w:val="24"/>
          <w:szCs w:val="24"/>
        </w:rPr>
        <w:t xml:space="preserve">additional </w:t>
      </w:r>
      <w:r w:rsidR="00916ED9">
        <w:rPr>
          <w:rFonts w:ascii="Arial" w:hAnsi="Arial" w:cs="Arial"/>
          <w:sz w:val="24"/>
          <w:szCs w:val="24"/>
        </w:rPr>
        <w:t xml:space="preserve">work </w:t>
      </w:r>
      <w:r w:rsidRPr="00916ED9">
        <w:rPr>
          <w:rFonts w:ascii="Arial" w:hAnsi="Arial" w:cs="Arial"/>
          <w:sz w:val="24"/>
          <w:szCs w:val="24"/>
        </w:rPr>
        <w:t>as required if the need is identified during the year.</w:t>
      </w:r>
    </w:p>
    <w:p w:rsidR="00AF15FA" w:rsidRPr="00AF15FA" w:rsidRDefault="00AF15FA" w:rsidP="00AF15FA">
      <w:pPr>
        <w:pStyle w:val="Heading1"/>
        <w:numPr>
          <w:ilvl w:val="0"/>
          <w:numId w:val="23"/>
        </w:numPr>
        <w:tabs>
          <w:tab w:val="clear" w:pos="992"/>
          <w:tab w:val="num" w:pos="851"/>
        </w:tabs>
        <w:spacing w:after="120" w:line="240" w:lineRule="auto"/>
        <w:ind w:left="851" w:hanging="851"/>
        <w:rPr>
          <w:rFonts w:ascii="Arial" w:hAnsi="Arial" w:cs="Arial"/>
          <w:sz w:val="28"/>
          <w:szCs w:val="28"/>
        </w:rPr>
      </w:pPr>
      <w:r w:rsidRPr="00AF15FA">
        <w:rPr>
          <w:rFonts w:ascii="Arial" w:hAnsi="Arial" w:cs="Arial"/>
          <w:sz w:val="28"/>
          <w:szCs w:val="28"/>
        </w:rPr>
        <w:lastRenderedPageBreak/>
        <w:t xml:space="preserve">Internal audit </w:t>
      </w:r>
      <w:r w:rsidR="004C36AF">
        <w:rPr>
          <w:rFonts w:ascii="Arial" w:hAnsi="Arial" w:cs="Arial"/>
          <w:sz w:val="28"/>
          <w:szCs w:val="28"/>
        </w:rPr>
        <w:t>quality assurance and improvement</w:t>
      </w:r>
    </w:p>
    <w:p w:rsidR="00AF15FA" w:rsidRPr="00985559" w:rsidRDefault="00AF15FA" w:rsidP="007A4408">
      <w:pPr>
        <w:numPr>
          <w:ilvl w:val="1"/>
          <w:numId w:val="23"/>
        </w:numPr>
        <w:tabs>
          <w:tab w:val="clear" w:pos="992"/>
          <w:tab w:val="num" w:pos="851"/>
        </w:tabs>
        <w:spacing w:before="120" w:after="120" w:line="240" w:lineRule="auto"/>
        <w:ind w:left="851" w:hanging="851"/>
        <w:rPr>
          <w:rFonts w:ascii="Arial" w:hAnsi="Arial" w:cs="Arial"/>
          <w:sz w:val="24"/>
          <w:szCs w:val="24"/>
        </w:rPr>
      </w:pPr>
      <w:r w:rsidRPr="00985559">
        <w:rPr>
          <w:rFonts w:ascii="Arial" w:hAnsi="Arial" w:cs="Arial"/>
          <w:sz w:val="24"/>
          <w:szCs w:val="24"/>
        </w:rPr>
        <w:t xml:space="preserve">In order to place reliance on the work of the Internal Audit Service </w:t>
      </w:r>
      <w:r w:rsidR="00985559" w:rsidRPr="00985559">
        <w:rPr>
          <w:rFonts w:ascii="Arial" w:hAnsi="Arial" w:cs="Arial"/>
          <w:sz w:val="24"/>
          <w:szCs w:val="24"/>
        </w:rPr>
        <w:t xml:space="preserve">and, in conformance with the Public Sector Internal Audit Standards, </w:t>
      </w:r>
      <w:r w:rsidRPr="00985559">
        <w:rPr>
          <w:rFonts w:ascii="Arial" w:hAnsi="Arial" w:cs="Arial"/>
          <w:sz w:val="24"/>
          <w:szCs w:val="24"/>
        </w:rPr>
        <w:t xml:space="preserve">it is important that the </w:t>
      </w:r>
      <w:r w:rsidR="00985559" w:rsidRPr="00985559">
        <w:rPr>
          <w:rFonts w:ascii="Arial" w:hAnsi="Arial" w:cs="Arial"/>
          <w:sz w:val="24"/>
          <w:szCs w:val="24"/>
        </w:rPr>
        <w:t>Pension Fund</w:t>
      </w:r>
      <w:r w:rsidRPr="00985559">
        <w:rPr>
          <w:rFonts w:ascii="Arial" w:hAnsi="Arial" w:cs="Arial"/>
          <w:sz w:val="24"/>
          <w:szCs w:val="24"/>
        </w:rPr>
        <w:t xml:space="preserve"> receives assurance regarding its quality</w:t>
      </w:r>
      <w:r w:rsidR="00985559" w:rsidRPr="00985559">
        <w:rPr>
          <w:rFonts w:ascii="Arial" w:hAnsi="Arial" w:cs="Arial"/>
          <w:sz w:val="24"/>
          <w:szCs w:val="24"/>
        </w:rPr>
        <w:t xml:space="preserve"> </w:t>
      </w:r>
      <w:r w:rsidRPr="00985559">
        <w:rPr>
          <w:rFonts w:ascii="Arial" w:hAnsi="Arial" w:cs="Arial"/>
          <w:sz w:val="24"/>
          <w:szCs w:val="24"/>
        </w:rPr>
        <w:t>The Internal Audit Service therefore undertook a self-assessment in 2012 against the professional standards in place during at the time (the CIPFA Code of Practice for Internal Audit in Local Government in the United Kingdom, 2006). This self-assessment was verified externally by the Council's external auditor, and the Audit Commission's findings were reported to the Audit and Governance Committee in September 2012.</w:t>
      </w:r>
    </w:p>
    <w:p w:rsidR="00AF15FA" w:rsidRPr="00AF15FA" w:rsidRDefault="00AF15FA" w:rsidP="00AF15FA">
      <w:pPr>
        <w:numPr>
          <w:ilvl w:val="1"/>
          <w:numId w:val="23"/>
        </w:numPr>
        <w:tabs>
          <w:tab w:val="clear" w:pos="992"/>
          <w:tab w:val="num" w:pos="851"/>
        </w:tabs>
        <w:spacing w:before="120" w:after="120" w:line="240" w:lineRule="auto"/>
        <w:ind w:left="851" w:hanging="851"/>
        <w:rPr>
          <w:rFonts w:ascii="Arial" w:hAnsi="Arial" w:cs="Arial"/>
          <w:sz w:val="24"/>
          <w:szCs w:val="24"/>
        </w:rPr>
      </w:pPr>
      <w:r w:rsidRPr="00AF15FA">
        <w:rPr>
          <w:rFonts w:ascii="Arial" w:hAnsi="Arial" w:cs="Arial"/>
          <w:sz w:val="24"/>
          <w:szCs w:val="24"/>
        </w:rPr>
        <w:t xml:space="preserve">The Audit Commission concluded that: </w:t>
      </w:r>
    </w:p>
    <w:p w:rsidR="00AF15FA" w:rsidRPr="00AF15FA" w:rsidRDefault="00AF15FA" w:rsidP="00AF15FA">
      <w:pPr>
        <w:spacing w:before="120" w:after="120"/>
        <w:ind w:left="851"/>
        <w:rPr>
          <w:rFonts w:ascii="Arial" w:hAnsi="Arial" w:cs="Arial"/>
          <w:sz w:val="24"/>
          <w:szCs w:val="24"/>
        </w:rPr>
      </w:pPr>
      <w:r w:rsidRPr="00AF15FA">
        <w:rPr>
          <w:rFonts w:ascii="Arial" w:hAnsi="Arial" w:cs="Arial"/>
          <w:sz w:val="24"/>
          <w:szCs w:val="24"/>
        </w:rPr>
        <w:lastRenderedPageBreak/>
        <w:t>'</w:t>
      </w:r>
      <w:proofErr w:type="gramStart"/>
      <w:r w:rsidRPr="00AF15FA">
        <w:rPr>
          <w:rFonts w:ascii="Arial" w:hAnsi="Arial" w:cs="Arial"/>
          <w:sz w:val="24"/>
          <w:szCs w:val="24"/>
        </w:rPr>
        <w:t>the</w:t>
      </w:r>
      <w:proofErr w:type="gramEnd"/>
      <w:r w:rsidRPr="00AF15FA">
        <w:rPr>
          <w:rFonts w:ascii="Arial" w:hAnsi="Arial" w:cs="Arial"/>
          <w:sz w:val="24"/>
          <w:szCs w:val="24"/>
        </w:rPr>
        <w:t xml:space="preserve"> Council’s Internal Audit function meets each of the eleven standards for Internal Audit set out in the CIPFA Code of Practice for Internal Audit in Local Government. </w:t>
      </w:r>
    </w:p>
    <w:p w:rsidR="00AF15FA" w:rsidRPr="00AF15FA" w:rsidRDefault="00AF15FA" w:rsidP="00AF15FA">
      <w:pPr>
        <w:spacing w:before="120" w:after="120"/>
        <w:ind w:left="851"/>
        <w:rPr>
          <w:rFonts w:ascii="Arial" w:hAnsi="Arial" w:cs="Arial"/>
          <w:sz w:val="24"/>
          <w:szCs w:val="24"/>
        </w:rPr>
      </w:pPr>
      <w:r w:rsidRPr="00AF15FA">
        <w:rPr>
          <w:rFonts w:ascii="Arial" w:hAnsi="Arial" w:cs="Arial"/>
          <w:sz w:val="24"/>
          <w:szCs w:val="24"/>
        </w:rPr>
        <w:t>'Our review has also concluded that the Internal Audit function demonstrates many of the characteristics of best practice as set out in the CIPFA Statement on the role of the Head of Internal Audit and The Excellent Internal Auditor. In particular, the Internal Audit work programme includes proactive fraud awareness work, thematic and corporate reviews to promote good governance across the organisation, and the annual plan is based on a comprehensive risk assessment process.'</w:t>
      </w:r>
    </w:p>
    <w:p w:rsidR="00AF15FA" w:rsidRPr="00AF15FA" w:rsidRDefault="00AF15FA" w:rsidP="00AF15FA">
      <w:pPr>
        <w:numPr>
          <w:ilvl w:val="1"/>
          <w:numId w:val="23"/>
        </w:numPr>
        <w:tabs>
          <w:tab w:val="clear" w:pos="992"/>
          <w:tab w:val="num" w:pos="851"/>
        </w:tabs>
        <w:spacing w:before="120" w:after="120" w:line="240" w:lineRule="auto"/>
        <w:ind w:left="851" w:hanging="851"/>
        <w:rPr>
          <w:rFonts w:ascii="Arial" w:hAnsi="Arial" w:cs="Arial"/>
          <w:sz w:val="24"/>
          <w:szCs w:val="24"/>
        </w:rPr>
      </w:pPr>
      <w:r w:rsidRPr="00AF15FA">
        <w:rPr>
          <w:rFonts w:ascii="Arial" w:hAnsi="Arial" w:cs="Arial"/>
          <w:sz w:val="24"/>
          <w:szCs w:val="24"/>
        </w:rPr>
        <w:t xml:space="preserve">Like the rest of </w:t>
      </w:r>
      <w:r w:rsidR="00985559" w:rsidRPr="00985559">
        <w:rPr>
          <w:rFonts w:ascii="Arial" w:hAnsi="Arial" w:cs="Arial"/>
          <w:sz w:val="24"/>
          <w:szCs w:val="24"/>
        </w:rPr>
        <w:t>Lancashire County Council</w:t>
      </w:r>
      <w:r w:rsidRPr="00AF15FA">
        <w:rPr>
          <w:rFonts w:ascii="Arial" w:hAnsi="Arial" w:cs="Arial"/>
          <w:sz w:val="24"/>
          <w:szCs w:val="24"/>
        </w:rPr>
        <w:t xml:space="preserve">, the Internal Audit Service will be subject to further restructuring, and a </w:t>
      </w:r>
      <w:r w:rsidR="00985559">
        <w:rPr>
          <w:rFonts w:ascii="Arial" w:hAnsi="Arial" w:cs="Arial"/>
          <w:sz w:val="24"/>
          <w:szCs w:val="24"/>
        </w:rPr>
        <w:t xml:space="preserve">full externally validated </w:t>
      </w:r>
      <w:r w:rsidRPr="00AF15FA">
        <w:rPr>
          <w:rFonts w:ascii="Arial" w:hAnsi="Arial" w:cs="Arial"/>
          <w:sz w:val="24"/>
          <w:szCs w:val="24"/>
        </w:rPr>
        <w:t xml:space="preserve">reassessment against </w:t>
      </w:r>
      <w:r w:rsidRPr="00AF15FA">
        <w:rPr>
          <w:rFonts w:ascii="Arial" w:hAnsi="Arial" w:cs="Arial"/>
          <w:sz w:val="24"/>
          <w:szCs w:val="24"/>
        </w:rPr>
        <w:lastRenderedPageBreak/>
        <w:t>the Public Sector Internal Audit Standards published in 2013 will be necessary in due course.</w:t>
      </w:r>
    </w:p>
    <w:p w:rsidR="00D77E7B" w:rsidRPr="00FE327B" w:rsidRDefault="00D77E7B" w:rsidP="00883B19">
      <w:pPr>
        <w:rPr>
          <w:rFonts w:ascii="Arial" w:hAnsi="Arial" w:cs="Arial"/>
          <w:sz w:val="24"/>
          <w:szCs w:val="24"/>
        </w:rPr>
      </w:pPr>
    </w:p>
    <w:p w:rsidR="00725E99" w:rsidRDefault="00725E99">
      <w:pPr>
        <w:pStyle w:val="BodyText"/>
        <w:numPr>
          <w:ilvl w:val="0"/>
          <w:numId w:val="1"/>
        </w:numPr>
        <w:rPr>
          <w:rFonts w:ascii="Arial" w:hAnsi="Arial" w:cs="Arial"/>
          <w:b/>
          <w:sz w:val="24"/>
          <w:szCs w:val="24"/>
        </w:rPr>
        <w:sectPr w:rsidR="00725E99" w:rsidSect="00D27427">
          <w:headerReference w:type="default" r:id="rId16"/>
          <w:footerReference w:type="default" r:id="rId17"/>
          <w:headerReference w:type="first" r:id="rId18"/>
          <w:footerReference w:type="first" r:id="rId19"/>
          <w:pgSz w:w="12240" w:h="15840"/>
          <w:pgMar w:top="1560" w:right="1608" w:bottom="1135" w:left="1560" w:header="709" w:footer="536" w:gutter="0"/>
          <w:pgNumType w:start="1"/>
          <w:cols w:space="708"/>
          <w:docGrid w:linePitch="360"/>
        </w:sectPr>
      </w:pPr>
    </w:p>
    <w:p w:rsidR="00D77E7B" w:rsidRPr="00725E99" w:rsidRDefault="00BA7A38" w:rsidP="00725E99">
      <w:pPr>
        <w:pStyle w:val="BodyText"/>
        <w:tabs>
          <w:tab w:val="right" w:pos="9072"/>
        </w:tabs>
        <w:rPr>
          <w:rFonts w:ascii="Arial" w:hAnsi="Arial" w:cs="Arial"/>
          <w:b/>
          <w:sz w:val="28"/>
          <w:szCs w:val="28"/>
        </w:rPr>
      </w:pPr>
      <w:r w:rsidRPr="00725E99">
        <w:rPr>
          <w:rFonts w:ascii="Arial" w:hAnsi="Arial" w:cs="Arial"/>
          <w:b/>
          <w:sz w:val="28"/>
          <w:szCs w:val="28"/>
        </w:rPr>
        <w:lastRenderedPageBreak/>
        <w:t>Scope, responsibilities and assurance</w:t>
      </w:r>
      <w:r w:rsidR="00725E99" w:rsidRPr="00725E99">
        <w:rPr>
          <w:rFonts w:ascii="Arial" w:hAnsi="Arial" w:cs="Arial"/>
          <w:b/>
          <w:sz w:val="28"/>
          <w:szCs w:val="28"/>
        </w:rPr>
        <w:tab/>
        <w:t>Annex A</w:t>
      </w:r>
    </w:p>
    <w:p w:rsidR="00D77E7B" w:rsidRPr="00725E99" w:rsidRDefault="00D77E7B" w:rsidP="00725E99">
      <w:pPr>
        <w:spacing w:after="240"/>
        <w:rPr>
          <w:rFonts w:ascii="Arial" w:hAnsi="Arial" w:cs="Arial"/>
          <w:b/>
          <w:sz w:val="24"/>
        </w:rPr>
      </w:pPr>
      <w:r w:rsidRPr="00725E99">
        <w:rPr>
          <w:rFonts w:ascii="Arial" w:hAnsi="Arial" w:cs="Arial"/>
          <w:b/>
          <w:sz w:val="24"/>
        </w:rPr>
        <w:t>Approach</w:t>
      </w:r>
    </w:p>
    <w:p w:rsidR="00D77E7B" w:rsidRPr="002114FB" w:rsidRDefault="00D77E7B" w:rsidP="00725E99">
      <w:pPr>
        <w:pStyle w:val="BodyText"/>
        <w:numPr>
          <w:ilvl w:val="0"/>
          <w:numId w:val="39"/>
        </w:numPr>
        <w:ind w:left="993" w:hanging="993"/>
        <w:rPr>
          <w:rFonts w:ascii="Arial" w:hAnsi="Arial"/>
          <w:sz w:val="24"/>
        </w:rPr>
      </w:pPr>
      <w:r w:rsidRPr="002114FB">
        <w:rPr>
          <w:rFonts w:ascii="Arial" w:hAnsi="Arial"/>
          <w:sz w:val="24"/>
        </w:rPr>
        <w:t xml:space="preserve">In accordance with the </w:t>
      </w:r>
      <w:r w:rsidR="005C460B">
        <w:rPr>
          <w:rFonts w:ascii="Arial" w:hAnsi="Arial"/>
          <w:sz w:val="24"/>
        </w:rPr>
        <w:t>Public Sector internal Audit Standards</w:t>
      </w:r>
      <w:r w:rsidRPr="002114FB">
        <w:rPr>
          <w:rFonts w:ascii="Arial" w:hAnsi="Arial"/>
          <w:sz w:val="24"/>
        </w:rPr>
        <w:t xml:space="preserve">, the scope of internal audit encompasses all of the </w:t>
      </w:r>
      <w:r w:rsidR="00F57F94">
        <w:rPr>
          <w:rFonts w:ascii="Arial" w:hAnsi="Arial"/>
          <w:sz w:val="24"/>
        </w:rPr>
        <w:t xml:space="preserve">Pension Fund's </w:t>
      </w:r>
      <w:r w:rsidRPr="002114FB">
        <w:rPr>
          <w:rFonts w:ascii="Arial" w:hAnsi="Arial"/>
          <w:sz w:val="24"/>
        </w:rPr>
        <w:t xml:space="preserve">operations, resources and services including where they are provided by other organisations on </w:t>
      </w:r>
      <w:r w:rsidR="00F57F94">
        <w:rPr>
          <w:rFonts w:ascii="Arial" w:hAnsi="Arial"/>
          <w:sz w:val="24"/>
        </w:rPr>
        <w:t>its</w:t>
      </w:r>
      <w:r w:rsidRPr="002114FB">
        <w:rPr>
          <w:rFonts w:ascii="Arial" w:hAnsi="Arial"/>
          <w:sz w:val="24"/>
        </w:rPr>
        <w:t xml:space="preserve"> behalf.</w:t>
      </w:r>
    </w:p>
    <w:p w:rsidR="00D77E7B" w:rsidRPr="00725E99" w:rsidRDefault="00D77E7B" w:rsidP="00725E99">
      <w:pPr>
        <w:spacing w:after="240"/>
        <w:rPr>
          <w:rFonts w:ascii="Arial" w:hAnsi="Arial" w:cs="Arial"/>
          <w:b/>
          <w:sz w:val="24"/>
        </w:rPr>
      </w:pPr>
      <w:r w:rsidRPr="00725E99">
        <w:rPr>
          <w:rFonts w:ascii="Arial" w:hAnsi="Arial" w:cs="Arial"/>
          <w:b/>
          <w:sz w:val="24"/>
        </w:rPr>
        <w:t>Responsibilities of management and internal auditors</w:t>
      </w:r>
    </w:p>
    <w:p w:rsidR="00D77E7B" w:rsidRPr="002114FB" w:rsidRDefault="00D77E7B" w:rsidP="00725E99">
      <w:pPr>
        <w:pStyle w:val="BodyText"/>
        <w:numPr>
          <w:ilvl w:val="0"/>
          <w:numId w:val="39"/>
        </w:numPr>
        <w:ind w:left="993" w:hanging="993"/>
        <w:rPr>
          <w:rFonts w:ascii="Arial" w:hAnsi="Arial"/>
          <w:sz w:val="24"/>
        </w:rPr>
      </w:pPr>
      <w:r w:rsidRPr="002114FB">
        <w:rPr>
          <w:rFonts w:ascii="Arial" w:hAnsi="Arial"/>
          <w:sz w:val="24"/>
        </w:rPr>
        <w:t>It is management’s responsibility to maintain systems of risk management, in</w:t>
      </w:r>
      <w:r w:rsidR="00F57F94">
        <w:rPr>
          <w:rFonts w:ascii="Arial" w:hAnsi="Arial"/>
          <w:sz w:val="24"/>
        </w:rPr>
        <w:t xml:space="preserve">ternal control and governance. </w:t>
      </w:r>
      <w:r w:rsidRPr="002114FB">
        <w:rPr>
          <w:rFonts w:ascii="Arial" w:hAnsi="Arial"/>
          <w:sz w:val="24"/>
        </w:rPr>
        <w:t xml:space="preserve">Internal audit is an element of the internal control framework assisting management in the effective discharge of its responsibilities </w:t>
      </w:r>
      <w:r w:rsidRPr="002114FB">
        <w:rPr>
          <w:rFonts w:ascii="Arial" w:hAnsi="Arial"/>
          <w:sz w:val="24"/>
        </w:rPr>
        <w:lastRenderedPageBreak/>
        <w:t>and functions by exam</w:t>
      </w:r>
      <w:r w:rsidR="00F57F94">
        <w:rPr>
          <w:rFonts w:ascii="Arial" w:hAnsi="Arial"/>
          <w:sz w:val="24"/>
        </w:rPr>
        <w:t xml:space="preserve">ining and evaluating controls. </w:t>
      </w:r>
      <w:r w:rsidRPr="002114FB">
        <w:rPr>
          <w:rFonts w:ascii="Arial" w:hAnsi="Arial"/>
          <w:sz w:val="24"/>
        </w:rPr>
        <w:t>Internal auditors cannot therefore be held responsible for internal control failures.</w:t>
      </w:r>
    </w:p>
    <w:p w:rsidR="00D77E7B" w:rsidRPr="002114FB" w:rsidRDefault="00D77E7B" w:rsidP="00725E99">
      <w:pPr>
        <w:pStyle w:val="BodyText"/>
        <w:numPr>
          <w:ilvl w:val="0"/>
          <w:numId w:val="39"/>
        </w:numPr>
        <w:ind w:left="993" w:hanging="993"/>
        <w:rPr>
          <w:rFonts w:ascii="Arial" w:hAnsi="Arial"/>
          <w:sz w:val="24"/>
        </w:rPr>
      </w:pPr>
      <w:r w:rsidRPr="002114FB">
        <w:rPr>
          <w:rFonts w:ascii="Arial" w:hAnsi="Arial"/>
          <w:sz w:val="24"/>
        </w:rPr>
        <w:t>However, we have planned our work so that we have a reasonable expectation of detecting significant control weaknesses. We have reported all such weaknesses to you as they have become known to us, without undue delay, and have worked with you to develop proposals for remedial action.</w:t>
      </w:r>
    </w:p>
    <w:p w:rsidR="00D77E7B" w:rsidRPr="002114FB" w:rsidRDefault="00D77E7B" w:rsidP="00725E99">
      <w:pPr>
        <w:pStyle w:val="BodyText"/>
        <w:numPr>
          <w:ilvl w:val="0"/>
          <w:numId w:val="39"/>
        </w:numPr>
        <w:ind w:left="993" w:hanging="993"/>
        <w:rPr>
          <w:rFonts w:ascii="Arial" w:hAnsi="Arial"/>
          <w:sz w:val="24"/>
        </w:rPr>
      </w:pPr>
      <w:r w:rsidRPr="002114FB">
        <w:rPr>
          <w:rFonts w:ascii="Arial" w:hAnsi="Arial"/>
          <w:sz w:val="24"/>
        </w:rPr>
        <w:t>Internal audit procedures alone do not guarantee that fraud will be de</w:t>
      </w:r>
      <w:r w:rsidR="00F57F94">
        <w:rPr>
          <w:rFonts w:ascii="Arial" w:hAnsi="Arial"/>
          <w:sz w:val="24"/>
        </w:rPr>
        <w:t xml:space="preserve">tected. </w:t>
      </w:r>
      <w:r w:rsidRPr="002114FB">
        <w:rPr>
          <w:rFonts w:ascii="Arial" w:hAnsi="Arial"/>
          <w:sz w:val="24"/>
        </w:rPr>
        <w:t>Accordingly, our examinations as internal auditors should not be relied upon solely to disclose fraud or other irregularities which may exist, unless we are requested to carry out a special investigation for such activities in a particular area.</w:t>
      </w:r>
    </w:p>
    <w:p w:rsidR="00D77E7B" w:rsidRPr="002114FB" w:rsidRDefault="00D77E7B" w:rsidP="00725E99">
      <w:pPr>
        <w:pStyle w:val="BodyText"/>
        <w:numPr>
          <w:ilvl w:val="0"/>
          <w:numId w:val="39"/>
        </w:numPr>
        <w:ind w:left="993" w:hanging="993"/>
        <w:rPr>
          <w:rFonts w:ascii="Arial" w:hAnsi="Arial"/>
          <w:sz w:val="24"/>
        </w:rPr>
      </w:pPr>
      <w:r w:rsidRPr="002114FB">
        <w:rPr>
          <w:rFonts w:ascii="Arial" w:hAnsi="Arial"/>
          <w:sz w:val="24"/>
        </w:rPr>
        <w:lastRenderedPageBreak/>
        <w:t>Internal audit’s role includes assessing the adequacy of the risk management processes, key internal control systems and corporate governance arrangements put in place by management and performing testing on a sample of transactions to ensure those controls were operating for the period under review.</w:t>
      </w:r>
    </w:p>
    <w:p w:rsidR="00D77E7B" w:rsidRPr="00725E99" w:rsidRDefault="00D77E7B" w:rsidP="00725E99">
      <w:pPr>
        <w:spacing w:after="240"/>
        <w:rPr>
          <w:rFonts w:ascii="Arial" w:hAnsi="Arial" w:cs="Arial"/>
          <w:b/>
          <w:sz w:val="24"/>
        </w:rPr>
      </w:pPr>
      <w:r w:rsidRPr="00725E99">
        <w:rPr>
          <w:rFonts w:ascii="Arial" w:hAnsi="Arial" w:cs="Arial"/>
          <w:b/>
          <w:sz w:val="24"/>
        </w:rPr>
        <w:t>Basis of our assessment</w:t>
      </w:r>
    </w:p>
    <w:p w:rsidR="00D77E7B" w:rsidRPr="00725E99" w:rsidRDefault="00D77E7B" w:rsidP="00725E99">
      <w:pPr>
        <w:pStyle w:val="BodyText"/>
        <w:numPr>
          <w:ilvl w:val="0"/>
          <w:numId w:val="39"/>
        </w:numPr>
        <w:ind w:left="993" w:hanging="993"/>
        <w:rPr>
          <w:rFonts w:ascii="Arial" w:hAnsi="Arial"/>
          <w:sz w:val="24"/>
        </w:rPr>
      </w:pPr>
      <w:r w:rsidRPr="002114FB">
        <w:rPr>
          <w:rFonts w:ascii="Arial" w:hAnsi="Arial"/>
          <w:sz w:val="24"/>
        </w:rPr>
        <w:t>Our opinion on the adequacy of control arrangements is based upon the result of internal audit reviews undertaken during the period in accordance with the plan</w:t>
      </w:r>
      <w:r w:rsidR="001E59A6">
        <w:rPr>
          <w:rFonts w:ascii="Arial" w:hAnsi="Arial"/>
          <w:sz w:val="24"/>
        </w:rPr>
        <w:t xml:space="preserve"> approved by </w:t>
      </w:r>
      <w:r>
        <w:rPr>
          <w:rFonts w:ascii="Arial" w:hAnsi="Arial"/>
          <w:sz w:val="24"/>
        </w:rPr>
        <w:t>the Pension Fund Committee</w:t>
      </w:r>
      <w:r w:rsidR="00F57F94">
        <w:rPr>
          <w:rFonts w:ascii="Arial" w:hAnsi="Arial"/>
          <w:sz w:val="24"/>
        </w:rPr>
        <w:t xml:space="preserve">. </w:t>
      </w:r>
      <w:r w:rsidRPr="002114FB">
        <w:rPr>
          <w:rFonts w:ascii="Arial" w:hAnsi="Arial"/>
          <w:sz w:val="24"/>
        </w:rPr>
        <w:t>We have obtained sufficient, reliable and relevant evidence to support the recommendations that we have made.</w:t>
      </w:r>
    </w:p>
    <w:p w:rsidR="00D77E7B" w:rsidRPr="00725E99" w:rsidRDefault="00D77E7B" w:rsidP="00725E99">
      <w:pPr>
        <w:spacing w:after="240"/>
        <w:rPr>
          <w:rFonts w:ascii="Arial" w:hAnsi="Arial" w:cs="Arial"/>
          <w:b/>
          <w:sz w:val="24"/>
        </w:rPr>
      </w:pPr>
      <w:r w:rsidRPr="00725E99">
        <w:rPr>
          <w:rFonts w:ascii="Arial" w:hAnsi="Arial" w:cs="Arial"/>
          <w:b/>
          <w:sz w:val="24"/>
        </w:rPr>
        <w:t>Limitations to the scope of our work</w:t>
      </w:r>
    </w:p>
    <w:p w:rsidR="00D77E7B" w:rsidRPr="002114FB" w:rsidRDefault="00D77E7B" w:rsidP="00F57F94">
      <w:pPr>
        <w:pStyle w:val="BodyText"/>
        <w:numPr>
          <w:ilvl w:val="0"/>
          <w:numId w:val="39"/>
        </w:numPr>
        <w:ind w:left="993" w:hanging="993"/>
        <w:rPr>
          <w:rFonts w:ascii="Arial" w:hAnsi="Arial"/>
          <w:sz w:val="24"/>
        </w:rPr>
      </w:pPr>
      <w:r w:rsidRPr="002114FB">
        <w:rPr>
          <w:rFonts w:ascii="Arial" w:hAnsi="Arial"/>
          <w:sz w:val="24"/>
        </w:rPr>
        <w:lastRenderedPageBreak/>
        <w:t>No limitations have been placed on the scope or extent of the work we carried out during the year</w:t>
      </w:r>
      <w:r w:rsidR="00692D4F">
        <w:rPr>
          <w:rFonts w:ascii="Arial" w:hAnsi="Arial"/>
          <w:sz w:val="24"/>
        </w:rPr>
        <w:t>.</w:t>
      </w:r>
    </w:p>
    <w:p w:rsidR="00D77E7B" w:rsidRPr="00F57F94" w:rsidRDefault="00D77E7B" w:rsidP="00F57F94">
      <w:pPr>
        <w:spacing w:after="240"/>
        <w:rPr>
          <w:rFonts w:ascii="Arial" w:hAnsi="Arial" w:cs="Arial"/>
          <w:b/>
          <w:sz w:val="24"/>
        </w:rPr>
      </w:pPr>
      <w:r w:rsidRPr="00F57F94">
        <w:rPr>
          <w:rFonts w:ascii="Arial" w:hAnsi="Arial" w:cs="Arial"/>
          <w:b/>
          <w:sz w:val="24"/>
        </w:rPr>
        <w:t>Limitations on the assurance that internal audit can provide</w:t>
      </w:r>
    </w:p>
    <w:p w:rsidR="00D77E7B" w:rsidRPr="002114FB" w:rsidRDefault="00D77E7B" w:rsidP="00F57F94">
      <w:pPr>
        <w:pStyle w:val="BodyText"/>
        <w:numPr>
          <w:ilvl w:val="0"/>
          <w:numId w:val="39"/>
        </w:numPr>
        <w:ind w:left="993" w:hanging="993"/>
        <w:rPr>
          <w:rFonts w:ascii="Arial" w:hAnsi="Arial"/>
          <w:sz w:val="24"/>
        </w:rPr>
      </w:pPr>
      <w:r w:rsidRPr="002114FB">
        <w:rPr>
          <w:rFonts w:ascii="Arial" w:hAnsi="Arial"/>
          <w:sz w:val="24"/>
        </w:rPr>
        <w:t>There are inherent limitations as to what can be achieved by internal control and consequently limitations to the conclusions that can be drawn from our work as internal auditors. These limitations include the possibility of faulty judgement in decision making, of breakdowns because of human error, of control activities being circumvented by the collusion of two or more people and of m</w:t>
      </w:r>
      <w:r w:rsidR="00F57F94">
        <w:rPr>
          <w:rFonts w:ascii="Arial" w:hAnsi="Arial"/>
          <w:sz w:val="24"/>
        </w:rPr>
        <w:t>anagement overriding controls. A</w:t>
      </w:r>
      <w:r w:rsidRPr="002114FB">
        <w:rPr>
          <w:rFonts w:ascii="Arial" w:hAnsi="Arial"/>
          <w:sz w:val="24"/>
        </w:rPr>
        <w:t>lso there is no certainty that internal controls will continue to operate effectively in future periods or that the controls will be adequate to mitigate all significant risks which may arise in future.</w:t>
      </w:r>
    </w:p>
    <w:p w:rsidR="00D77E7B" w:rsidRDefault="00D77E7B" w:rsidP="00F57F94">
      <w:pPr>
        <w:pStyle w:val="BodyText"/>
        <w:numPr>
          <w:ilvl w:val="0"/>
          <w:numId w:val="39"/>
        </w:numPr>
        <w:ind w:left="993" w:hanging="993"/>
        <w:rPr>
          <w:rFonts w:ascii="Arial" w:hAnsi="Arial"/>
          <w:sz w:val="24"/>
        </w:rPr>
      </w:pPr>
      <w:r w:rsidRPr="002114FB">
        <w:rPr>
          <w:rFonts w:ascii="Arial" w:hAnsi="Arial"/>
          <w:sz w:val="24"/>
        </w:rPr>
        <w:lastRenderedPageBreak/>
        <w:t>Decisions made in designing internal controls inevitably involve the acceptance of some degree of risk. As the outcome of the operation of internal controls cannot be predicted with absolute assurance any assessment of internal control is judgmental.</w:t>
      </w:r>
    </w:p>
    <w:p w:rsidR="00415650" w:rsidRPr="00415650" w:rsidRDefault="00415650" w:rsidP="00415650">
      <w:pPr>
        <w:spacing w:after="240"/>
        <w:rPr>
          <w:rFonts w:ascii="Arial" w:hAnsi="Arial" w:cs="Arial"/>
          <w:b/>
          <w:sz w:val="24"/>
        </w:rPr>
      </w:pPr>
      <w:r w:rsidRPr="00415650">
        <w:rPr>
          <w:rFonts w:ascii="Arial" w:hAnsi="Arial" w:cs="Arial"/>
          <w:b/>
          <w:sz w:val="24"/>
        </w:rPr>
        <w:t>Access to this report and responsibility to third parties</w:t>
      </w:r>
    </w:p>
    <w:p w:rsidR="00415650" w:rsidRPr="00415650" w:rsidRDefault="00415650" w:rsidP="00415650">
      <w:pPr>
        <w:pStyle w:val="BodyText"/>
        <w:numPr>
          <w:ilvl w:val="0"/>
          <w:numId w:val="39"/>
        </w:numPr>
        <w:ind w:left="993" w:hanging="993"/>
        <w:rPr>
          <w:rFonts w:ascii="Arial" w:hAnsi="Arial"/>
          <w:sz w:val="24"/>
        </w:rPr>
      </w:pPr>
      <w:r w:rsidRPr="00415650">
        <w:rPr>
          <w:rFonts w:ascii="Arial" w:hAnsi="Arial"/>
          <w:sz w:val="24"/>
        </w:rPr>
        <w:t xml:space="preserve">This report has been prepared solely for Lancashire </w:t>
      </w:r>
      <w:r>
        <w:rPr>
          <w:rFonts w:ascii="Arial" w:hAnsi="Arial"/>
          <w:sz w:val="24"/>
        </w:rPr>
        <w:t>Pension Fund</w:t>
      </w:r>
      <w:r w:rsidRPr="00415650">
        <w:rPr>
          <w:rFonts w:ascii="Arial" w:hAnsi="Arial"/>
          <w:sz w:val="24"/>
        </w:rPr>
        <w:t>. It forms part of a continuing dialogue between the Internal Audit Service,</w:t>
      </w:r>
      <w:r>
        <w:rPr>
          <w:rFonts w:ascii="Arial" w:hAnsi="Arial"/>
          <w:sz w:val="24"/>
        </w:rPr>
        <w:t xml:space="preserve"> the senior management of the Fund, and the Pension Fund Committee</w:t>
      </w:r>
      <w:r w:rsidRPr="00415650">
        <w:rPr>
          <w:rFonts w:ascii="Arial" w:hAnsi="Arial"/>
          <w:sz w:val="24"/>
        </w:rPr>
        <w:t>. It is not therefore intended to include every matter that came to our attention during each internal audit review.</w:t>
      </w:r>
    </w:p>
    <w:p w:rsidR="00415650" w:rsidRPr="00415650" w:rsidRDefault="00415650" w:rsidP="00415650">
      <w:pPr>
        <w:pStyle w:val="BodyText"/>
        <w:numPr>
          <w:ilvl w:val="0"/>
          <w:numId w:val="39"/>
        </w:numPr>
        <w:ind w:left="993" w:hanging="993"/>
        <w:rPr>
          <w:rFonts w:ascii="Arial" w:hAnsi="Arial"/>
          <w:sz w:val="24"/>
        </w:rPr>
      </w:pPr>
      <w:r w:rsidRPr="00415650">
        <w:rPr>
          <w:rFonts w:ascii="Arial" w:hAnsi="Arial"/>
          <w:sz w:val="24"/>
        </w:rPr>
        <w:lastRenderedPageBreak/>
        <w:t>This report may be made available to other parties, such as the external auditors. No responsibility is accepted to any third party who may receive this report for any reliance that may be placed on it and, in particular, the external auditors must determine the reliance placed on the work of the Internal Audit Service.</w:t>
      </w:r>
    </w:p>
    <w:p w:rsidR="00415650" w:rsidRDefault="00415650" w:rsidP="00415650">
      <w:pPr>
        <w:pStyle w:val="BodyText"/>
        <w:rPr>
          <w:rFonts w:ascii="Arial" w:hAnsi="Arial"/>
          <w:sz w:val="24"/>
        </w:rPr>
      </w:pPr>
    </w:p>
    <w:p w:rsidR="00F57F94" w:rsidRDefault="00F57F94" w:rsidP="00F57F94">
      <w:pPr>
        <w:pStyle w:val="BodyText"/>
        <w:tabs>
          <w:tab w:val="right" w:pos="9072"/>
        </w:tabs>
        <w:rPr>
          <w:rFonts w:ascii="Arial" w:hAnsi="Arial" w:cs="Arial"/>
          <w:b/>
          <w:sz w:val="28"/>
          <w:szCs w:val="28"/>
        </w:rPr>
        <w:sectPr w:rsidR="00F57F94" w:rsidSect="001E129A">
          <w:pgSz w:w="12240" w:h="15840"/>
          <w:pgMar w:top="1560" w:right="1608" w:bottom="1135" w:left="1560" w:header="709" w:footer="536" w:gutter="0"/>
          <w:cols w:space="708"/>
          <w:docGrid w:linePitch="360"/>
        </w:sectPr>
      </w:pPr>
    </w:p>
    <w:p w:rsidR="0058666B" w:rsidRPr="00F57F94" w:rsidRDefault="0058666B" w:rsidP="00F57F94">
      <w:pPr>
        <w:pStyle w:val="BodyText"/>
        <w:tabs>
          <w:tab w:val="right" w:pos="9072"/>
        </w:tabs>
        <w:rPr>
          <w:rFonts w:ascii="Arial" w:hAnsi="Arial" w:cs="Arial"/>
          <w:b/>
          <w:sz w:val="28"/>
          <w:szCs w:val="28"/>
        </w:rPr>
      </w:pPr>
      <w:r w:rsidRPr="00F57F94">
        <w:rPr>
          <w:rFonts w:ascii="Arial" w:hAnsi="Arial" w:cs="Arial"/>
          <w:b/>
          <w:sz w:val="28"/>
          <w:szCs w:val="28"/>
        </w:rPr>
        <w:lastRenderedPageBreak/>
        <w:t>Audit assurance levels</w:t>
      </w:r>
      <w:r w:rsidR="00F57F94">
        <w:rPr>
          <w:rFonts w:ascii="Arial" w:hAnsi="Arial" w:cs="Arial"/>
          <w:b/>
          <w:sz w:val="28"/>
          <w:szCs w:val="28"/>
        </w:rPr>
        <w:tab/>
        <w:t>Annex B</w:t>
      </w:r>
    </w:p>
    <w:p w:rsidR="0058666B" w:rsidRPr="003F1782" w:rsidRDefault="0058666B" w:rsidP="00F57F94">
      <w:pPr>
        <w:pStyle w:val="BodyText"/>
        <w:spacing w:before="240" w:after="240" w:line="240" w:lineRule="auto"/>
        <w:rPr>
          <w:rFonts w:ascii="Arial" w:hAnsi="Arial" w:cs="Arial"/>
          <w:sz w:val="24"/>
          <w:szCs w:val="24"/>
          <w:lang w:eastAsia="en-GB"/>
        </w:rPr>
      </w:pPr>
      <w:r w:rsidRPr="003F1782">
        <w:rPr>
          <w:rFonts w:ascii="Arial" w:hAnsi="Arial" w:cs="Arial"/>
          <w:sz w:val="24"/>
          <w:szCs w:val="24"/>
          <w:lang w:eastAsia="en-GB"/>
        </w:rPr>
        <w:t>The assurance we can provide over any area of control falls into one of four</w:t>
      </w:r>
      <w:r>
        <w:rPr>
          <w:rFonts w:ascii="Arial" w:hAnsi="Arial" w:cs="Arial"/>
          <w:sz w:val="24"/>
          <w:szCs w:val="24"/>
          <w:lang w:eastAsia="en-GB"/>
        </w:rPr>
        <w:t xml:space="preserve"> </w:t>
      </w:r>
      <w:r w:rsidRPr="003F1782">
        <w:rPr>
          <w:rFonts w:ascii="Arial" w:hAnsi="Arial" w:cs="Arial"/>
          <w:sz w:val="24"/>
          <w:szCs w:val="24"/>
          <w:lang w:eastAsia="en-GB"/>
        </w:rPr>
        <w:t>categories as follows:</w:t>
      </w:r>
    </w:p>
    <w:p w:rsidR="0058666B" w:rsidRDefault="0058666B" w:rsidP="00F57F94">
      <w:pPr>
        <w:autoSpaceDE w:val="0"/>
        <w:autoSpaceDN w:val="0"/>
        <w:adjustRightInd w:val="0"/>
        <w:spacing w:before="240" w:after="240" w:line="240" w:lineRule="auto"/>
        <w:rPr>
          <w:rFonts w:ascii="Arial" w:hAnsi="Arial" w:cs="Arial"/>
          <w:sz w:val="24"/>
          <w:szCs w:val="24"/>
          <w:lang w:eastAsia="en-GB"/>
        </w:rPr>
      </w:pPr>
      <w:r>
        <w:rPr>
          <w:rFonts w:ascii="Arial" w:hAnsi="Arial" w:cs="Arial"/>
          <w:b/>
          <w:bCs/>
          <w:sz w:val="24"/>
          <w:szCs w:val="24"/>
          <w:lang w:eastAsia="en-GB"/>
        </w:rPr>
        <w:t>Full assurance</w:t>
      </w:r>
      <w:r>
        <w:rPr>
          <w:rFonts w:ascii="Arial" w:hAnsi="Arial" w:cs="Arial"/>
          <w:sz w:val="24"/>
          <w:szCs w:val="24"/>
          <w:lang w:eastAsia="en-GB"/>
        </w:rPr>
        <w:t>: there is a sound system of internal control which is adequately designed to meet the service objectives and is effective in that controls are being consistently applied.</w:t>
      </w:r>
    </w:p>
    <w:p w:rsidR="0058666B" w:rsidRDefault="0058666B" w:rsidP="00F57F94">
      <w:pPr>
        <w:autoSpaceDE w:val="0"/>
        <w:autoSpaceDN w:val="0"/>
        <w:adjustRightInd w:val="0"/>
        <w:spacing w:before="240" w:after="240" w:line="240" w:lineRule="auto"/>
        <w:rPr>
          <w:rFonts w:ascii="Arial" w:hAnsi="Arial" w:cs="Arial"/>
          <w:sz w:val="24"/>
          <w:szCs w:val="24"/>
          <w:lang w:eastAsia="en-GB"/>
        </w:rPr>
      </w:pPr>
      <w:r>
        <w:rPr>
          <w:rFonts w:ascii="Arial" w:hAnsi="Arial" w:cs="Arial"/>
          <w:b/>
          <w:bCs/>
          <w:sz w:val="24"/>
          <w:szCs w:val="24"/>
          <w:lang w:eastAsia="en-GB"/>
        </w:rPr>
        <w:t>Substantial assurance</w:t>
      </w:r>
      <w:r>
        <w:rPr>
          <w:rFonts w:ascii="Arial" w:hAnsi="Arial" w:cs="Arial"/>
          <w:sz w:val="24"/>
          <w:szCs w:val="24"/>
          <w:lang w:eastAsia="en-GB"/>
        </w:rPr>
        <w:t>: there is a generally sound system of internal control, adequately designed to meet the service objectives, and controls are generally being applied consistently. However some weakness in the design and/ or inconsistent application of controls put the achievement of particular objectives at risk.</w:t>
      </w:r>
    </w:p>
    <w:p w:rsidR="0058666B" w:rsidRDefault="0058666B" w:rsidP="00F57F94">
      <w:pPr>
        <w:autoSpaceDE w:val="0"/>
        <w:autoSpaceDN w:val="0"/>
        <w:adjustRightInd w:val="0"/>
        <w:spacing w:before="240" w:after="240" w:line="240" w:lineRule="auto"/>
        <w:rPr>
          <w:rFonts w:ascii="Arial" w:hAnsi="Arial" w:cs="Arial"/>
          <w:sz w:val="24"/>
          <w:szCs w:val="24"/>
          <w:lang w:eastAsia="en-GB"/>
        </w:rPr>
      </w:pPr>
      <w:r>
        <w:rPr>
          <w:rFonts w:ascii="Arial" w:hAnsi="Arial" w:cs="Arial"/>
          <w:b/>
          <w:bCs/>
          <w:sz w:val="24"/>
          <w:szCs w:val="24"/>
          <w:lang w:eastAsia="en-GB"/>
        </w:rPr>
        <w:t>Limited assurance</w:t>
      </w:r>
      <w:r>
        <w:rPr>
          <w:rFonts w:ascii="Arial" w:hAnsi="Arial" w:cs="Arial"/>
          <w:sz w:val="24"/>
          <w:szCs w:val="24"/>
          <w:lang w:eastAsia="en-GB"/>
        </w:rPr>
        <w:t>: weaknesses in the design and/ or inconsistent application of controls put the achievement of the service's objectives at risk.</w:t>
      </w:r>
    </w:p>
    <w:p w:rsidR="00D77E7B" w:rsidRPr="0058666B" w:rsidRDefault="0058666B" w:rsidP="00F57F94">
      <w:pPr>
        <w:autoSpaceDE w:val="0"/>
        <w:autoSpaceDN w:val="0"/>
        <w:adjustRightInd w:val="0"/>
        <w:spacing w:before="240" w:after="240" w:line="240" w:lineRule="auto"/>
        <w:rPr>
          <w:rFonts w:ascii="Arial" w:hAnsi="Arial" w:cs="Arial"/>
          <w:sz w:val="24"/>
          <w:szCs w:val="24"/>
        </w:rPr>
      </w:pPr>
      <w:r w:rsidRPr="00AF0705">
        <w:rPr>
          <w:rFonts w:ascii="Arial" w:hAnsi="Arial" w:cs="Arial"/>
          <w:b/>
          <w:bCs/>
          <w:sz w:val="24"/>
          <w:szCs w:val="24"/>
          <w:lang w:eastAsia="en-GB"/>
        </w:rPr>
        <w:lastRenderedPageBreak/>
        <w:t>No assurance</w:t>
      </w:r>
      <w:r w:rsidRPr="00AF0705">
        <w:rPr>
          <w:rFonts w:ascii="Arial" w:hAnsi="Arial" w:cs="Arial"/>
          <w:sz w:val="24"/>
          <w:szCs w:val="24"/>
          <w:lang w:eastAsia="en-GB"/>
        </w:rPr>
        <w:t xml:space="preserve">: weaknesses in control and/ or consistent non-compliance with controls could result/ has resulted in failure to achieve the </w:t>
      </w:r>
      <w:r>
        <w:rPr>
          <w:rFonts w:ascii="Arial" w:hAnsi="Arial" w:cs="Arial"/>
          <w:sz w:val="24"/>
          <w:szCs w:val="24"/>
          <w:lang w:eastAsia="en-GB"/>
        </w:rPr>
        <w:t>service</w:t>
      </w:r>
      <w:r w:rsidRPr="00AF0705">
        <w:rPr>
          <w:rFonts w:ascii="Arial" w:hAnsi="Arial" w:cs="Arial"/>
          <w:sz w:val="24"/>
          <w:szCs w:val="24"/>
          <w:lang w:eastAsia="en-GB"/>
        </w:rPr>
        <w:t xml:space="preserve"> objectives.</w:t>
      </w:r>
    </w:p>
    <w:sectPr w:rsidR="00D77E7B" w:rsidRPr="0058666B" w:rsidSect="001E129A">
      <w:pgSz w:w="12240" w:h="15840"/>
      <w:pgMar w:top="1560" w:right="1608" w:bottom="1135" w:left="1560" w:header="709" w:footer="5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B96" w:rsidRDefault="00276B96">
      <w:r>
        <w:separator/>
      </w:r>
    </w:p>
  </w:endnote>
  <w:endnote w:type="continuationSeparator" w:id="0">
    <w:p w:rsidR="00276B96" w:rsidRDefault="0027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B96" w:rsidRDefault="00B0223A" w:rsidP="00C57A17">
    <w:pPr>
      <w:pStyle w:val="Footer"/>
      <w:framePr w:wrap="around" w:vAnchor="text" w:hAnchor="margin" w:xAlign="right" w:y="1"/>
      <w:rPr>
        <w:rStyle w:val="PageNumber"/>
      </w:rPr>
    </w:pPr>
    <w:r>
      <w:rPr>
        <w:rStyle w:val="PageNumber"/>
      </w:rPr>
      <w:fldChar w:fldCharType="begin"/>
    </w:r>
    <w:r w:rsidR="00276B96">
      <w:rPr>
        <w:rStyle w:val="PageNumber"/>
      </w:rPr>
      <w:instrText xml:space="preserve">PAGE  </w:instrText>
    </w:r>
    <w:r>
      <w:rPr>
        <w:rStyle w:val="PageNumber"/>
      </w:rPr>
      <w:fldChar w:fldCharType="end"/>
    </w:r>
  </w:p>
  <w:p w:rsidR="00276B96" w:rsidRDefault="00276B96" w:rsidP="00C57A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B96" w:rsidRDefault="00276B96" w:rsidP="00C57A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B96" w:rsidRPr="00BF79C8" w:rsidRDefault="00276B96" w:rsidP="00BF79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225964"/>
      <w:docPartObj>
        <w:docPartGallery w:val="Page Numbers (Bottom of Page)"/>
        <w:docPartUnique/>
      </w:docPartObj>
    </w:sdtPr>
    <w:sdtEndPr>
      <w:rPr>
        <w:rFonts w:ascii="Arial" w:hAnsi="Arial" w:cs="Arial"/>
        <w:noProof/>
        <w:sz w:val="24"/>
        <w:szCs w:val="24"/>
      </w:rPr>
    </w:sdtEndPr>
    <w:sdtContent>
      <w:p w:rsidR="00BF79C8" w:rsidRPr="00BF79C8" w:rsidRDefault="00BF79C8">
        <w:pPr>
          <w:pStyle w:val="Footer"/>
          <w:jc w:val="center"/>
          <w:rPr>
            <w:rFonts w:ascii="Arial" w:hAnsi="Arial" w:cs="Arial"/>
            <w:sz w:val="24"/>
            <w:szCs w:val="24"/>
          </w:rPr>
        </w:pPr>
        <w:r w:rsidRPr="00BF79C8">
          <w:rPr>
            <w:rFonts w:ascii="Arial" w:hAnsi="Arial" w:cs="Arial"/>
            <w:sz w:val="24"/>
            <w:szCs w:val="24"/>
          </w:rPr>
          <w:fldChar w:fldCharType="begin"/>
        </w:r>
        <w:r w:rsidRPr="00BF79C8">
          <w:rPr>
            <w:rFonts w:ascii="Arial" w:hAnsi="Arial" w:cs="Arial"/>
            <w:sz w:val="24"/>
            <w:szCs w:val="24"/>
          </w:rPr>
          <w:instrText xml:space="preserve"> PAGE   \* MERGEFORMAT </w:instrText>
        </w:r>
        <w:r w:rsidRPr="00BF79C8">
          <w:rPr>
            <w:rFonts w:ascii="Arial" w:hAnsi="Arial" w:cs="Arial"/>
            <w:sz w:val="24"/>
            <w:szCs w:val="24"/>
          </w:rPr>
          <w:fldChar w:fldCharType="separate"/>
        </w:r>
        <w:r w:rsidR="00703D13">
          <w:rPr>
            <w:rFonts w:ascii="Arial" w:hAnsi="Arial" w:cs="Arial"/>
            <w:noProof/>
            <w:sz w:val="24"/>
            <w:szCs w:val="24"/>
          </w:rPr>
          <w:t>7</w:t>
        </w:r>
        <w:r w:rsidRPr="00BF79C8">
          <w:rPr>
            <w:rFonts w:ascii="Arial" w:hAnsi="Arial" w:cs="Arial"/>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994646"/>
      <w:docPartObj>
        <w:docPartGallery w:val="Page Numbers (Bottom of Page)"/>
        <w:docPartUnique/>
      </w:docPartObj>
    </w:sdtPr>
    <w:sdtEndPr>
      <w:rPr>
        <w:rFonts w:ascii="Arial" w:hAnsi="Arial" w:cs="Arial"/>
        <w:noProof/>
        <w:sz w:val="24"/>
        <w:szCs w:val="24"/>
      </w:rPr>
    </w:sdtEndPr>
    <w:sdtContent>
      <w:p w:rsidR="00BF79C8" w:rsidRPr="00BF79C8" w:rsidRDefault="00BF79C8" w:rsidP="00BF79C8">
        <w:pPr>
          <w:pStyle w:val="Footer"/>
          <w:tabs>
            <w:tab w:val="clear" w:pos="4153"/>
            <w:tab w:val="clear" w:pos="8306"/>
          </w:tabs>
          <w:jc w:val="center"/>
          <w:rPr>
            <w:rFonts w:ascii="Arial" w:hAnsi="Arial" w:cs="Arial"/>
            <w:sz w:val="24"/>
            <w:szCs w:val="24"/>
          </w:rPr>
        </w:pPr>
        <w:r w:rsidRPr="00BF79C8">
          <w:rPr>
            <w:rFonts w:ascii="Arial" w:hAnsi="Arial" w:cs="Arial"/>
            <w:sz w:val="24"/>
            <w:szCs w:val="24"/>
          </w:rPr>
          <w:fldChar w:fldCharType="begin"/>
        </w:r>
        <w:r w:rsidRPr="00BF79C8">
          <w:rPr>
            <w:rFonts w:ascii="Arial" w:hAnsi="Arial" w:cs="Arial"/>
            <w:sz w:val="24"/>
            <w:szCs w:val="24"/>
          </w:rPr>
          <w:instrText xml:space="preserve"> PAGE   \* MERGEFORMAT </w:instrText>
        </w:r>
        <w:r w:rsidRPr="00BF79C8">
          <w:rPr>
            <w:rFonts w:ascii="Arial" w:hAnsi="Arial" w:cs="Arial"/>
            <w:sz w:val="24"/>
            <w:szCs w:val="24"/>
          </w:rPr>
          <w:fldChar w:fldCharType="separate"/>
        </w:r>
        <w:r>
          <w:rPr>
            <w:rFonts w:ascii="Arial" w:hAnsi="Arial" w:cs="Arial"/>
            <w:noProof/>
            <w:sz w:val="24"/>
            <w:szCs w:val="24"/>
          </w:rPr>
          <w:t>9</w:t>
        </w:r>
        <w:r w:rsidRPr="00BF79C8">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B96" w:rsidRDefault="00276B96">
      <w:r>
        <w:separator/>
      </w:r>
    </w:p>
  </w:footnote>
  <w:footnote w:type="continuationSeparator" w:id="0">
    <w:p w:rsidR="00276B96" w:rsidRDefault="00276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13" w:rsidRPr="00703D13" w:rsidRDefault="00703D13" w:rsidP="00703D13">
    <w:pPr>
      <w:pStyle w:val="Header"/>
      <w:jc w:val="right"/>
      <w:rPr>
        <w:rFonts w:ascii="Arial" w:hAnsi="Arial" w:cs="Arial"/>
        <w:b/>
        <w:sz w:val="24"/>
        <w:szCs w:val="24"/>
      </w:rPr>
    </w:pPr>
    <w:r w:rsidRPr="00703D13">
      <w:rPr>
        <w:rFonts w:ascii="Arial" w:hAnsi="Arial" w:cs="Arial"/>
        <w:b/>
        <w:sz w:val="24"/>
        <w:szCs w:val="24"/>
      </w:rPr>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B96" w:rsidRPr="004636A1" w:rsidRDefault="00276B96">
    <w:pPr>
      <w:pStyle w:val="Header"/>
      <w:rPr>
        <w:rFonts w:ascii="Arial" w:hAnsi="Arial" w:cs="Arial"/>
      </w:rPr>
    </w:pPr>
    <w:smartTag w:uri="urn:schemas-microsoft-com:office:smarttags" w:element="place">
      <w:r w:rsidRPr="004636A1">
        <w:rPr>
          <w:rFonts w:ascii="Arial" w:hAnsi="Arial" w:cs="Arial"/>
        </w:rPr>
        <w:t>Lancashire</w:t>
      </w:r>
    </w:smartTag>
    <w:r w:rsidRPr="004636A1">
      <w:rPr>
        <w:rFonts w:ascii="Arial" w:hAnsi="Arial" w:cs="Arial"/>
      </w:rPr>
      <w:t xml:space="preserve"> </w:t>
    </w:r>
    <w:r>
      <w:rPr>
        <w:rFonts w:ascii="Arial" w:hAnsi="Arial" w:cs="Arial"/>
      </w:rPr>
      <w:t xml:space="preserve">County Council Internal Audit </w:t>
    </w:r>
    <w:r w:rsidRPr="004636A1">
      <w:rPr>
        <w:rFonts w:ascii="Arial" w:hAnsi="Arial" w:cs="Arial"/>
      </w:rPr>
      <w:t>Service</w:t>
    </w:r>
  </w:p>
  <w:p w:rsidR="00251DEC" w:rsidRPr="004636A1" w:rsidRDefault="00251DEC">
    <w:pPr>
      <w:pStyle w:val="Header"/>
      <w:rPr>
        <w:rFonts w:ascii="Arial" w:hAnsi="Arial" w:cs="Arial"/>
      </w:rPr>
    </w:pPr>
    <w:r>
      <w:rPr>
        <w:rFonts w:ascii="Arial" w:hAnsi="Arial" w:cs="Arial"/>
      </w:rPr>
      <w:t xml:space="preserve">Lancashire </w:t>
    </w:r>
    <w:r w:rsidR="00276B96">
      <w:rPr>
        <w:rFonts w:ascii="Arial" w:hAnsi="Arial" w:cs="Arial"/>
      </w:rPr>
      <w:t xml:space="preserve">Pension </w:t>
    </w:r>
    <w:r>
      <w:rPr>
        <w:rFonts w:ascii="Arial" w:hAnsi="Arial" w:cs="Arial"/>
      </w:rPr>
      <w:t>F</w:t>
    </w:r>
    <w:r w:rsidR="00276B96">
      <w:rPr>
        <w:rFonts w:ascii="Arial" w:hAnsi="Arial" w:cs="Arial"/>
      </w:rPr>
      <w:t>und</w:t>
    </w:r>
    <w:r w:rsidR="00276B96" w:rsidRPr="004636A1">
      <w:rPr>
        <w:rFonts w:ascii="Arial" w:hAnsi="Arial" w:cs="Arial"/>
      </w:rPr>
      <w:t xml:space="preserve"> annual report </w:t>
    </w:r>
    <w:r>
      <w:rPr>
        <w:rFonts w:ascii="Arial" w:hAnsi="Arial" w:cs="Arial"/>
      </w:rPr>
      <w:t>for 2014/ 2015 and annual plan for 2015/16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B96" w:rsidRPr="004636A1" w:rsidRDefault="00276B96" w:rsidP="00AD3817">
    <w:pPr>
      <w:pStyle w:val="Header"/>
      <w:rPr>
        <w:rFonts w:ascii="Arial" w:hAnsi="Arial" w:cs="Arial"/>
      </w:rPr>
    </w:pPr>
    <w:r w:rsidRPr="004636A1">
      <w:rPr>
        <w:rFonts w:ascii="Arial" w:hAnsi="Arial" w:cs="Arial"/>
      </w:rPr>
      <w:t xml:space="preserve">Lancashire </w:t>
    </w:r>
    <w:r>
      <w:rPr>
        <w:rFonts w:ascii="Arial" w:hAnsi="Arial" w:cs="Arial"/>
      </w:rPr>
      <w:t xml:space="preserve">County Council Internal </w:t>
    </w:r>
    <w:r w:rsidRPr="004636A1">
      <w:rPr>
        <w:rFonts w:ascii="Arial" w:hAnsi="Arial" w:cs="Arial"/>
      </w:rPr>
      <w:t>Audit Service</w:t>
    </w:r>
    <w:r>
      <w:rPr>
        <w:rFonts w:ascii="Arial" w:hAnsi="Arial" w:cs="Arial"/>
      </w:rPr>
      <w:tab/>
    </w:r>
    <w:r>
      <w:rPr>
        <w:rFonts w:ascii="Arial" w:hAnsi="Arial" w:cs="Arial"/>
      </w:rPr>
      <w:tab/>
    </w:r>
    <w:r>
      <w:rPr>
        <w:rFonts w:ascii="Arial" w:hAnsi="Arial" w:cs="Arial"/>
      </w:rPr>
      <w:tab/>
    </w:r>
  </w:p>
  <w:p w:rsidR="00276B96" w:rsidRPr="004636A1" w:rsidRDefault="00276B96" w:rsidP="00AD3817">
    <w:pPr>
      <w:pStyle w:val="Header"/>
      <w:rPr>
        <w:rFonts w:ascii="Arial" w:hAnsi="Arial" w:cs="Arial"/>
      </w:rPr>
    </w:pPr>
    <w:r w:rsidRPr="004636A1">
      <w:rPr>
        <w:rFonts w:ascii="Arial" w:hAnsi="Arial" w:cs="Arial"/>
      </w:rPr>
      <w:t xml:space="preserve">Annual report </w:t>
    </w:r>
    <w:r>
      <w:rPr>
        <w:rFonts w:ascii="Arial" w:hAnsi="Arial" w:cs="Arial"/>
      </w:rPr>
      <w:t>for the year ended 31 March 2014</w:t>
    </w:r>
  </w:p>
  <w:p w:rsidR="00276B96" w:rsidRPr="004636A1" w:rsidRDefault="00276B96">
    <w:pPr>
      <w:pStyle w:val="Header"/>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C8" w:rsidRPr="004636A1" w:rsidRDefault="00BF79C8" w:rsidP="00BF79C8">
    <w:pPr>
      <w:pStyle w:val="Header"/>
      <w:rPr>
        <w:rFonts w:ascii="Arial" w:hAnsi="Arial" w:cs="Arial"/>
      </w:rPr>
    </w:pPr>
    <w:r w:rsidRPr="004636A1">
      <w:rPr>
        <w:rFonts w:ascii="Arial" w:hAnsi="Arial" w:cs="Arial"/>
      </w:rPr>
      <w:t xml:space="preserve">Lancashire </w:t>
    </w:r>
    <w:r>
      <w:rPr>
        <w:rFonts w:ascii="Arial" w:hAnsi="Arial" w:cs="Arial"/>
      </w:rPr>
      <w:t>County Council Internal Audit Service</w:t>
    </w:r>
  </w:p>
  <w:p w:rsidR="00BF79C8" w:rsidRPr="00BF79C8" w:rsidRDefault="00BF79C8" w:rsidP="00BF79C8">
    <w:pPr>
      <w:pStyle w:val="Header"/>
      <w:rPr>
        <w:rFonts w:ascii="Arial" w:hAnsi="Arial" w:cs="Arial"/>
      </w:rPr>
    </w:pPr>
    <w:r>
      <w:rPr>
        <w:rFonts w:ascii="Arial" w:hAnsi="Arial" w:cs="Arial"/>
      </w:rPr>
      <w:t>Lancashire Pension Fund</w:t>
    </w:r>
    <w:r w:rsidRPr="004636A1">
      <w:rPr>
        <w:rFonts w:ascii="Arial" w:hAnsi="Arial" w:cs="Arial"/>
      </w:rPr>
      <w:t xml:space="preserve"> annual report </w:t>
    </w:r>
    <w:r>
      <w:rPr>
        <w:rFonts w:ascii="Arial" w:hAnsi="Arial" w:cs="Arial"/>
      </w:rPr>
      <w:t>for 2014/ 2015 and annual plan for 2015/16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EC" w:rsidRPr="004636A1" w:rsidRDefault="00251DEC" w:rsidP="00AD3817">
    <w:pPr>
      <w:pStyle w:val="Header"/>
      <w:rPr>
        <w:rFonts w:ascii="Arial" w:hAnsi="Arial" w:cs="Arial"/>
      </w:rPr>
    </w:pPr>
    <w:r w:rsidRPr="004636A1">
      <w:rPr>
        <w:rFonts w:ascii="Arial" w:hAnsi="Arial" w:cs="Arial"/>
      </w:rPr>
      <w:t xml:space="preserve">Lancashire </w:t>
    </w:r>
    <w:r>
      <w:rPr>
        <w:rFonts w:ascii="Arial" w:hAnsi="Arial" w:cs="Arial"/>
      </w:rPr>
      <w:t>County Council Internal Audit Service</w:t>
    </w:r>
  </w:p>
  <w:p w:rsidR="00251DEC" w:rsidRPr="004636A1" w:rsidRDefault="00251DEC">
    <w:pPr>
      <w:pStyle w:val="Header"/>
      <w:rPr>
        <w:rFonts w:ascii="Arial" w:hAnsi="Arial" w:cs="Arial"/>
      </w:rPr>
    </w:pPr>
    <w:r>
      <w:rPr>
        <w:rFonts w:ascii="Arial" w:hAnsi="Arial" w:cs="Arial"/>
      </w:rPr>
      <w:t>Lancashire Pension Fund</w:t>
    </w:r>
    <w:r w:rsidRPr="004636A1">
      <w:rPr>
        <w:rFonts w:ascii="Arial" w:hAnsi="Arial" w:cs="Arial"/>
      </w:rPr>
      <w:t xml:space="preserve"> annual report </w:t>
    </w:r>
    <w:r>
      <w:rPr>
        <w:rFonts w:ascii="Arial" w:hAnsi="Arial" w:cs="Arial"/>
      </w:rPr>
      <w:t>for 2014/ 2015 and annual plan for 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3E84"/>
    <w:multiLevelType w:val="multilevel"/>
    <w:tmpl w:val="9FC82316"/>
    <w:lvl w:ilvl="0">
      <w:start w:val="1"/>
      <w:numFmt w:val="upperLetter"/>
      <w:lvlText w:val="%1"/>
      <w:lvlJc w:val="left"/>
      <w:pPr>
        <w:tabs>
          <w:tab w:val="num" w:pos="851"/>
        </w:tabs>
        <w:ind w:left="851" w:hanging="851"/>
      </w:pPr>
      <w:rPr>
        <w:rFonts w:ascii="Arial" w:hAnsi="Arial"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bullet"/>
      <w:lvlText w:val=""/>
      <w:lvlJc w:val="left"/>
      <w:pPr>
        <w:tabs>
          <w:tab w:val="num" w:pos="851"/>
        </w:tabs>
        <w:ind w:left="851" w:hanging="851"/>
      </w:pPr>
      <w:rPr>
        <w:rFonts w:ascii="Symbol" w:hAnsi="Symbol" w:hint="default"/>
        <w:color w:val="auto"/>
        <w:sz w:val="24"/>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
    <w:nsid w:val="091401A5"/>
    <w:multiLevelType w:val="multilevel"/>
    <w:tmpl w:val="7E32A53A"/>
    <w:lvl w:ilvl="0">
      <w:start w:val="1"/>
      <w:numFmt w:val="decimal"/>
      <w:lvlText w:val="%1"/>
      <w:lvlJc w:val="left"/>
      <w:pPr>
        <w:tabs>
          <w:tab w:val="num" w:pos="851"/>
        </w:tabs>
        <w:ind w:left="851" w:hanging="851"/>
      </w:pPr>
      <w:rPr>
        <w:rFonts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
    <w:nsid w:val="094C6CB1"/>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BB30434"/>
    <w:multiLevelType w:val="hybridMultilevel"/>
    <w:tmpl w:val="BB961FE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nsid w:val="0E62740A"/>
    <w:multiLevelType w:val="hybridMultilevel"/>
    <w:tmpl w:val="CBA6178A"/>
    <w:lvl w:ilvl="0" w:tplc="982C47F2">
      <w:start w:val="1"/>
      <w:numFmt w:val="bullet"/>
      <w:lvlText w:val=""/>
      <w:lvlJc w:val="left"/>
      <w:pPr>
        <w:tabs>
          <w:tab w:val="num" w:pos="851"/>
        </w:tabs>
        <w:ind w:left="851"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12086821"/>
    <w:multiLevelType w:val="hybridMultilevel"/>
    <w:tmpl w:val="267821C2"/>
    <w:lvl w:ilvl="0" w:tplc="0809000F">
      <w:start w:val="1"/>
      <w:numFmt w:val="decimal"/>
      <w:lvlText w:val="%1."/>
      <w:lvlJc w:val="left"/>
      <w:pPr>
        <w:tabs>
          <w:tab w:val="num" w:pos="2190"/>
        </w:tabs>
        <w:ind w:left="2190" w:hanging="360"/>
      </w:pPr>
      <w:rPr>
        <w:rFonts w:cs="Times New Roman"/>
      </w:rPr>
    </w:lvl>
    <w:lvl w:ilvl="1" w:tplc="08090019">
      <w:start w:val="1"/>
      <w:numFmt w:val="decimal"/>
      <w:lvlText w:val="%2."/>
      <w:lvlJc w:val="left"/>
      <w:pPr>
        <w:tabs>
          <w:tab w:val="num" w:pos="2370"/>
        </w:tabs>
        <w:ind w:left="2370" w:hanging="360"/>
      </w:pPr>
      <w:rPr>
        <w:rFonts w:cs="Times New Roman"/>
      </w:rPr>
    </w:lvl>
    <w:lvl w:ilvl="2" w:tplc="0809001B">
      <w:start w:val="1"/>
      <w:numFmt w:val="decimal"/>
      <w:lvlText w:val="%3."/>
      <w:lvlJc w:val="left"/>
      <w:pPr>
        <w:tabs>
          <w:tab w:val="num" w:pos="3090"/>
        </w:tabs>
        <w:ind w:left="3090" w:hanging="360"/>
      </w:pPr>
      <w:rPr>
        <w:rFonts w:cs="Times New Roman"/>
      </w:rPr>
    </w:lvl>
    <w:lvl w:ilvl="3" w:tplc="0809000F">
      <w:start w:val="1"/>
      <w:numFmt w:val="decimal"/>
      <w:lvlText w:val="%4."/>
      <w:lvlJc w:val="left"/>
      <w:pPr>
        <w:tabs>
          <w:tab w:val="num" w:pos="3810"/>
        </w:tabs>
        <w:ind w:left="3810" w:hanging="360"/>
      </w:pPr>
      <w:rPr>
        <w:rFonts w:cs="Times New Roman"/>
      </w:rPr>
    </w:lvl>
    <w:lvl w:ilvl="4" w:tplc="08090019">
      <w:start w:val="1"/>
      <w:numFmt w:val="decimal"/>
      <w:lvlText w:val="%5."/>
      <w:lvlJc w:val="left"/>
      <w:pPr>
        <w:tabs>
          <w:tab w:val="num" w:pos="4530"/>
        </w:tabs>
        <w:ind w:left="4530" w:hanging="360"/>
      </w:pPr>
      <w:rPr>
        <w:rFonts w:cs="Times New Roman"/>
      </w:rPr>
    </w:lvl>
    <w:lvl w:ilvl="5" w:tplc="0809001B">
      <w:start w:val="1"/>
      <w:numFmt w:val="decimal"/>
      <w:lvlText w:val="%6."/>
      <w:lvlJc w:val="left"/>
      <w:pPr>
        <w:tabs>
          <w:tab w:val="num" w:pos="5250"/>
        </w:tabs>
        <w:ind w:left="5250" w:hanging="360"/>
      </w:pPr>
      <w:rPr>
        <w:rFonts w:cs="Times New Roman"/>
      </w:rPr>
    </w:lvl>
    <w:lvl w:ilvl="6" w:tplc="0809000F">
      <w:start w:val="1"/>
      <w:numFmt w:val="decimal"/>
      <w:lvlText w:val="%7."/>
      <w:lvlJc w:val="left"/>
      <w:pPr>
        <w:tabs>
          <w:tab w:val="num" w:pos="5970"/>
        </w:tabs>
        <w:ind w:left="5970" w:hanging="360"/>
      </w:pPr>
      <w:rPr>
        <w:rFonts w:cs="Times New Roman"/>
      </w:rPr>
    </w:lvl>
    <w:lvl w:ilvl="7" w:tplc="08090019">
      <w:start w:val="1"/>
      <w:numFmt w:val="decimal"/>
      <w:lvlText w:val="%8."/>
      <w:lvlJc w:val="left"/>
      <w:pPr>
        <w:tabs>
          <w:tab w:val="num" w:pos="6690"/>
        </w:tabs>
        <w:ind w:left="6690" w:hanging="360"/>
      </w:pPr>
      <w:rPr>
        <w:rFonts w:cs="Times New Roman"/>
      </w:rPr>
    </w:lvl>
    <w:lvl w:ilvl="8" w:tplc="0809001B">
      <w:start w:val="1"/>
      <w:numFmt w:val="decimal"/>
      <w:lvlText w:val="%9."/>
      <w:lvlJc w:val="left"/>
      <w:pPr>
        <w:tabs>
          <w:tab w:val="num" w:pos="7410"/>
        </w:tabs>
        <w:ind w:left="7410" w:hanging="360"/>
      </w:pPr>
      <w:rPr>
        <w:rFonts w:cs="Times New Roman"/>
      </w:rPr>
    </w:lvl>
  </w:abstractNum>
  <w:abstractNum w:abstractNumId="6">
    <w:nsid w:val="12811141"/>
    <w:multiLevelType w:val="hybridMultilevel"/>
    <w:tmpl w:val="370AD1E8"/>
    <w:lvl w:ilvl="0" w:tplc="1BD2B990">
      <w:start w:val="1"/>
      <w:numFmt w:val="decimal"/>
      <w:lvlText w:val="A.%1"/>
      <w:lvlJc w:val="left"/>
      <w:pPr>
        <w:ind w:left="720" w:hanging="36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4122FE"/>
    <w:multiLevelType w:val="hybridMultilevel"/>
    <w:tmpl w:val="50C2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F4029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5F92A5F"/>
    <w:multiLevelType w:val="hybridMultilevel"/>
    <w:tmpl w:val="50844518"/>
    <w:lvl w:ilvl="0" w:tplc="D90E8442">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6D04F5B"/>
    <w:multiLevelType w:val="multilevel"/>
    <w:tmpl w:val="572455D2"/>
    <w:lvl w:ilvl="0">
      <w:start w:val="1"/>
      <w:numFmt w:val="decimal"/>
      <w:lvlText w:val="%1"/>
      <w:lvlJc w:val="left"/>
      <w:pPr>
        <w:tabs>
          <w:tab w:val="num" w:pos="851"/>
        </w:tabs>
        <w:ind w:left="851" w:hanging="851"/>
      </w:pPr>
      <w:rPr>
        <w:rFonts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1">
    <w:nsid w:val="1C8D7420"/>
    <w:multiLevelType w:val="multilevel"/>
    <w:tmpl w:val="50FEA4AE"/>
    <w:lvl w:ilvl="0">
      <w:start w:val="1"/>
      <w:numFmt w:val="decimal"/>
      <w:lvlText w:val="%1"/>
      <w:lvlJc w:val="left"/>
      <w:pPr>
        <w:tabs>
          <w:tab w:val="num" w:pos="851"/>
        </w:tabs>
        <w:ind w:left="851" w:hanging="851"/>
      </w:pPr>
      <w:rPr>
        <w:rFonts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2">
    <w:nsid w:val="1E2C2D36"/>
    <w:multiLevelType w:val="hybridMultilevel"/>
    <w:tmpl w:val="7C5C545C"/>
    <w:lvl w:ilvl="0" w:tplc="0D2467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495253F"/>
    <w:multiLevelType w:val="hybridMultilevel"/>
    <w:tmpl w:val="3D16CD48"/>
    <w:lvl w:ilvl="0" w:tplc="2892BFA4">
      <w:start w:val="1"/>
      <w:numFmt w:val="bullet"/>
      <w:lvlText w:val=""/>
      <w:lvlJc w:val="left"/>
      <w:pPr>
        <w:tabs>
          <w:tab w:val="num" w:pos="1211"/>
        </w:tabs>
        <w:ind w:left="1211" w:hanging="360"/>
      </w:pPr>
      <w:rPr>
        <w:rFonts w:ascii="Symbol" w:hAnsi="Symbol" w:hint="default"/>
        <w:b w:val="0"/>
        <w:i w:val="0"/>
        <w:sz w:val="20"/>
      </w:rPr>
    </w:lvl>
    <w:lvl w:ilvl="1" w:tplc="04090003">
      <w:start w:val="1"/>
      <w:numFmt w:val="bullet"/>
      <w:lvlText w:val="o"/>
      <w:lvlJc w:val="left"/>
      <w:pPr>
        <w:tabs>
          <w:tab w:val="num" w:pos="1080"/>
        </w:tabs>
        <w:ind w:left="1080" w:hanging="360"/>
      </w:pPr>
      <w:rPr>
        <w:rFonts w:ascii="Courier New" w:hAnsi="Courier New" w:hint="default"/>
      </w:rPr>
    </w:lvl>
    <w:lvl w:ilvl="2" w:tplc="FFE8EA2E">
      <w:start w:val="1"/>
      <w:numFmt w:val="bullet"/>
      <w:lvlText w:val=""/>
      <w:lvlJc w:val="left"/>
      <w:pPr>
        <w:tabs>
          <w:tab w:val="num" w:pos="1724"/>
        </w:tabs>
        <w:ind w:left="2007" w:hanging="567"/>
      </w:pPr>
      <w:rPr>
        <w:rFonts w:ascii="Symbol" w:hAnsi="Symbol" w:hint="default"/>
        <w:b w:val="0"/>
        <w:i w:val="0"/>
        <w:sz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7DC54DD"/>
    <w:multiLevelType w:val="hybridMultilevel"/>
    <w:tmpl w:val="BF6AF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E33B0C"/>
    <w:multiLevelType w:val="hybridMultilevel"/>
    <w:tmpl w:val="B1F48A16"/>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2520"/>
        </w:tabs>
        <w:ind w:left="2520" w:hanging="360"/>
      </w:p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16">
    <w:nsid w:val="305A2939"/>
    <w:multiLevelType w:val="hybridMultilevel"/>
    <w:tmpl w:val="3ED28CE6"/>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7">
    <w:nsid w:val="31293341"/>
    <w:multiLevelType w:val="multilevel"/>
    <w:tmpl w:val="DFB8335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348B7EC0"/>
    <w:multiLevelType w:val="hybridMultilevel"/>
    <w:tmpl w:val="E3720DFE"/>
    <w:lvl w:ilvl="0" w:tplc="2892BFA4">
      <w:start w:val="1"/>
      <w:numFmt w:val="bullet"/>
      <w:lvlText w:val=""/>
      <w:lvlJc w:val="left"/>
      <w:pPr>
        <w:tabs>
          <w:tab w:val="num" w:pos="1211"/>
        </w:tabs>
        <w:ind w:left="1211" w:hanging="360"/>
      </w:pPr>
      <w:rPr>
        <w:rFonts w:ascii="Symbol" w:hAnsi="Symbol" w:hint="default"/>
        <w:b w:val="0"/>
        <w:i w:val="0"/>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A436092"/>
    <w:multiLevelType w:val="hybridMultilevel"/>
    <w:tmpl w:val="04A8200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nsid w:val="3A947F48"/>
    <w:multiLevelType w:val="multilevel"/>
    <w:tmpl w:val="AC327930"/>
    <w:lvl w:ilvl="0">
      <w:start w:val="1"/>
      <w:numFmt w:val="decimal"/>
      <w:lvlText w:val="%1"/>
      <w:lvlJc w:val="left"/>
      <w:pPr>
        <w:tabs>
          <w:tab w:val="num" w:pos="851"/>
        </w:tabs>
        <w:ind w:left="851" w:hanging="851"/>
      </w:pPr>
      <w:rPr>
        <w:rFonts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b w:val="0"/>
        <w:i w:val="0"/>
        <w:sz w:val="24"/>
        <w:szCs w:val="24"/>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1">
    <w:nsid w:val="3D6B6194"/>
    <w:multiLevelType w:val="hybridMultilevel"/>
    <w:tmpl w:val="51D6CE1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45CC74D4"/>
    <w:multiLevelType w:val="hybridMultilevel"/>
    <w:tmpl w:val="44861B2A"/>
    <w:lvl w:ilvl="0" w:tplc="079AE45C">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502B40F5"/>
    <w:multiLevelType w:val="hybridMultilevel"/>
    <w:tmpl w:val="0CEE419A"/>
    <w:lvl w:ilvl="0" w:tplc="FFE8EA2E">
      <w:start w:val="1"/>
      <w:numFmt w:val="bullet"/>
      <w:lvlText w:val=""/>
      <w:lvlJc w:val="left"/>
      <w:pPr>
        <w:tabs>
          <w:tab w:val="num" w:pos="1072"/>
        </w:tabs>
        <w:ind w:left="1355" w:hanging="567"/>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4">
    <w:nsid w:val="52B23514"/>
    <w:multiLevelType w:val="multilevel"/>
    <w:tmpl w:val="B762B1D6"/>
    <w:lvl w:ilvl="0">
      <w:start w:val="1"/>
      <w:numFmt w:val="decimal"/>
      <w:pStyle w:val="ListParagraph"/>
      <w:lvlText w:val="%1"/>
      <w:lvlJc w:val="left"/>
      <w:pPr>
        <w:ind w:left="360" w:hanging="360"/>
      </w:pPr>
      <w:rPr>
        <w:rFonts w:ascii="Arial" w:hAnsi="Arial" w:cs="Times New Roman"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20" w:hanging="360"/>
      </w:pPr>
      <w:rPr>
        <w:rFonts w:ascii="Arial" w:hAnsi="Arial" w:cs="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541626B9"/>
    <w:multiLevelType w:val="multilevel"/>
    <w:tmpl w:val="E424C662"/>
    <w:lvl w:ilvl="0">
      <w:start w:val="1"/>
      <w:numFmt w:val="decimal"/>
      <w:lvlText w:val="%1."/>
      <w:lvlJc w:val="left"/>
      <w:pPr>
        <w:tabs>
          <w:tab w:val="num" w:pos="992"/>
        </w:tabs>
        <w:ind w:left="992" w:hanging="992"/>
      </w:pPr>
      <w:rPr>
        <w:rFonts w:cs="Times New Roman" w:hint="default"/>
        <w:sz w:val="28"/>
      </w:rPr>
    </w:lvl>
    <w:lvl w:ilvl="1">
      <w:start w:val="1"/>
      <w:numFmt w:val="decimal"/>
      <w:lvlText w:val="%1.%2."/>
      <w:lvlJc w:val="left"/>
      <w:pPr>
        <w:tabs>
          <w:tab w:val="num" w:pos="992"/>
        </w:tabs>
        <w:ind w:left="992" w:hanging="992"/>
      </w:pPr>
      <w:rPr>
        <w:rFonts w:cs="Times New Roman" w:hint="default"/>
        <w:b w:val="0"/>
        <w:i w:val="0"/>
      </w:rPr>
    </w:lvl>
    <w:lvl w:ilvl="2">
      <w:start w:val="1"/>
      <w:numFmt w:val="decimal"/>
      <w:lvlText w:val="%1.%2.%3."/>
      <w:lvlJc w:val="left"/>
      <w:pPr>
        <w:tabs>
          <w:tab w:val="num" w:pos="0"/>
        </w:tabs>
      </w:pPr>
      <w:rPr>
        <w:rFonts w:cs="Times New Roman" w:hint="default"/>
      </w:rPr>
    </w:lvl>
    <w:lvl w:ilvl="3">
      <w:start w:val="1"/>
      <w:numFmt w:val="lowerRoman"/>
      <w:lvlText w:val="(%4)"/>
      <w:lvlJc w:val="left"/>
      <w:pPr>
        <w:tabs>
          <w:tab w:val="num" w:pos="0"/>
        </w:tabs>
      </w:pPr>
      <w:rPr>
        <w:rFonts w:cs="Times New Roman"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6">
    <w:nsid w:val="5BAA617F"/>
    <w:multiLevelType w:val="multilevel"/>
    <w:tmpl w:val="A148F134"/>
    <w:lvl w:ilvl="0">
      <w:start w:val="1"/>
      <w:numFmt w:val="decimal"/>
      <w:lvlText w:val="%1."/>
      <w:lvlJc w:val="left"/>
      <w:pPr>
        <w:tabs>
          <w:tab w:val="num" w:pos="1080"/>
        </w:tabs>
        <w:ind w:left="1080" w:hanging="1080"/>
      </w:pPr>
      <w:rPr>
        <w:rFonts w:ascii="Arial Bold" w:hAnsi="Arial Bold" w:cs="Times New Roman" w:hint="default"/>
        <w:b/>
        <w:i w:val="0"/>
        <w:sz w:val="28"/>
        <w:u w:val="none"/>
      </w:rPr>
    </w:lvl>
    <w:lvl w:ilvl="1">
      <w:start w:val="1"/>
      <w:numFmt w:val="decimal"/>
      <w:isLgl/>
      <w:lvlText w:val="%1.%2"/>
      <w:lvlJc w:val="left"/>
      <w:pPr>
        <w:tabs>
          <w:tab w:val="num" w:pos="1080"/>
        </w:tabs>
        <w:ind w:left="1080" w:hanging="1080"/>
      </w:pPr>
      <w:rPr>
        <w:rFonts w:ascii="Arial" w:hAnsi="Arial" w:cs="Times New Roman" w:hint="default"/>
        <w:b w:val="0"/>
        <w:i w:val="0"/>
        <w:sz w:val="24"/>
        <w:u w:val="none"/>
      </w:rPr>
    </w:lvl>
    <w:lvl w:ilvl="2">
      <w:start w:val="1"/>
      <w:numFmt w:val="decimal"/>
      <w:isLgl/>
      <w:lvlText w:val="%1.%2.%3"/>
      <w:lvlJc w:val="left"/>
      <w:pPr>
        <w:tabs>
          <w:tab w:val="num" w:pos="1800"/>
        </w:tabs>
        <w:ind w:left="1800" w:hanging="1080"/>
      </w:pPr>
      <w:rPr>
        <w:rFonts w:cs="Times New Roman"/>
        <w:b w:val="0"/>
        <w:i w:val="0"/>
        <w:u w:val="none"/>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5F8364DD"/>
    <w:multiLevelType w:val="multilevel"/>
    <w:tmpl w:val="7E32A53A"/>
    <w:lvl w:ilvl="0">
      <w:start w:val="1"/>
      <w:numFmt w:val="decimal"/>
      <w:lvlText w:val="%1"/>
      <w:lvlJc w:val="left"/>
      <w:pPr>
        <w:tabs>
          <w:tab w:val="num" w:pos="851"/>
        </w:tabs>
        <w:ind w:left="851" w:hanging="851"/>
      </w:pPr>
      <w:rPr>
        <w:rFonts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8">
    <w:nsid w:val="5FEB023C"/>
    <w:multiLevelType w:val="multilevel"/>
    <w:tmpl w:val="7E32A53A"/>
    <w:lvl w:ilvl="0">
      <w:start w:val="1"/>
      <w:numFmt w:val="decimal"/>
      <w:lvlText w:val="%1"/>
      <w:lvlJc w:val="left"/>
      <w:pPr>
        <w:tabs>
          <w:tab w:val="num" w:pos="851"/>
        </w:tabs>
        <w:ind w:left="851" w:hanging="851"/>
      </w:pPr>
      <w:rPr>
        <w:rFonts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9">
    <w:nsid w:val="62274B96"/>
    <w:multiLevelType w:val="hybridMultilevel"/>
    <w:tmpl w:val="0BF8A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4F4311"/>
    <w:multiLevelType w:val="hybridMultilevel"/>
    <w:tmpl w:val="06A670FC"/>
    <w:lvl w:ilvl="0" w:tplc="0409000F">
      <w:start w:val="1"/>
      <w:numFmt w:val="decimal"/>
      <w:lvlText w:val="%1."/>
      <w:lvlJc w:val="left"/>
      <w:pPr>
        <w:tabs>
          <w:tab w:val="num" w:pos="360"/>
        </w:tabs>
        <w:ind w:left="360" w:hanging="360"/>
      </w:pPr>
      <w:rPr>
        <w:rFonts w:cs="Times New Roman"/>
      </w:rPr>
    </w:lvl>
    <w:lvl w:ilvl="1" w:tplc="B16853CC">
      <w:start w:val="5"/>
      <w:numFmt w:val="decimal"/>
      <w:lvlText w:val="%2"/>
      <w:lvlJc w:val="left"/>
      <w:pPr>
        <w:tabs>
          <w:tab w:val="num" w:pos="1080"/>
        </w:tabs>
        <w:ind w:left="1080" w:hanging="360"/>
      </w:pPr>
      <w:rPr>
        <w:rFonts w:cs="Times New Roman" w:hint="default"/>
      </w:rPr>
    </w:lvl>
    <w:lvl w:ilvl="2" w:tplc="0A70B65C">
      <w:start w:val="12"/>
      <w:numFmt w:val="bullet"/>
      <w:lvlText w:val="-"/>
      <w:lvlJc w:val="left"/>
      <w:pPr>
        <w:tabs>
          <w:tab w:val="num" w:pos="1980"/>
        </w:tabs>
        <w:ind w:left="1980" w:hanging="360"/>
      </w:pPr>
      <w:rPr>
        <w:rFonts w:ascii="Arial" w:eastAsia="Times New Roman" w:hAnsi="Aria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5DB5ADF"/>
    <w:multiLevelType w:val="hybridMultilevel"/>
    <w:tmpl w:val="B9663508"/>
    <w:lvl w:ilvl="0" w:tplc="E40AF530">
      <w:start w:val="1"/>
      <w:numFmt w:val="bullet"/>
      <w:lvlText w:val=""/>
      <w:lvlJc w:val="left"/>
      <w:pPr>
        <w:tabs>
          <w:tab w:val="num" w:pos="851"/>
        </w:tabs>
        <w:ind w:left="851"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9C44898"/>
    <w:multiLevelType w:val="hybridMultilevel"/>
    <w:tmpl w:val="7E32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D11DB2"/>
    <w:multiLevelType w:val="hybridMultilevel"/>
    <w:tmpl w:val="4836C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D6E6F25"/>
    <w:multiLevelType w:val="multilevel"/>
    <w:tmpl w:val="E3720DFE"/>
    <w:lvl w:ilvl="0">
      <w:start w:val="1"/>
      <w:numFmt w:val="bullet"/>
      <w:lvlText w:val=""/>
      <w:lvlJc w:val="left"/>
      <w:pPr>
        <w:tabs>
          <w:tab w:val="num" w:pos="1211"/>
        </w:tabs>
        <w:ind w:left="1211" w:hanging="360"/>
      </w:pPr>
      <w:rPr>
        <w:rFonts w:ascii="Symbol" w:hAnsi="Symbol" w:hint="default"/>
        <w:b w:val="0"/>
        <w:i w:val="0"/>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nsid w:val="71D122D2"/>
    <w:multiLevelType w:val="multilevel"/>
    <w:tmpl w:val="A148F134"/>
    <w:lvl w:ilvl="0">
      <w:start w:val="1"/>
      <w:numFmt w:val="decimal"/>
      <w:lvlText w:val="%1."/>
      <w:lvlJc w:val="left"/>
      <w:pPr>
        <w:tabs>
          <w:tab w:val="num" w:pos="1080"/>
        </w:tabs>
        <w:ind w:left="1080" w:hanging="1080"/>
      </w:pPr>
      <w:rPr>
        <w:rFonts w:ascii="Arial Bold" w:hAnsi="Arial Bold" w:cs="Times New Roman" w:hint="default"/>
        <w:b/>
        <w:i w:val="0"/>
        <w:sz w:val="28"/>
        <w:u w:val="none"/>
      </w:rPr>
    </w:lvl>
    <w:lvl w:ilvl="1">
      <w:start w:val="1"/>
      <w:numFmt w:val="decimal"/>
      <w:isLgl/>
      <w:lvlText w:val="%1.%2"/>
      <w:lvlJc w:val="left"/>
      <w:pPr>
        <w:tabs>
          <w:tab w:val="num" w:pos="1080"/>
        </w:tabs>
        <w:ind w:left="1080" w:hanging="1080"/>
      </w:pPr>
      <w:rPr>
        <w:rFonts w:ascii="Arial" w:hAnsi="Arial" w:cs="Times New Roman" w:hint="default"/>
        <w:b w:val="0"/>
        <w:i w:val="0"/>
        <w:sz w:val="24"/>
        <w:u w:val="none"/>
      </w:rPr>
    </w:lvl>
    <w:lvl w:ilvl="2">
      <w:start w:val="1"/>
      <w:numFmt w:val="decimal"/>
      <w:isLgl/>
      <w:lvlText w:val="%1.%2.%3"/>
      <w:lvlJc w:val="left"/>
      <w:pPr>
        <w:tabs>
          <w:tab w:val="num" w:pos="1800"/>
        </w:tabs>
        <w:ind w:left="1800" w:hanging="1080"/>
      </w:pPr>
      <w:rPr>
        <w:rFonts w:cs="Times New Roman"/>
        <w:b w:val="0"/>
        <w:i w:val="0"/>
        <w:u w:val="none"/>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nsid w:val="7E98617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6"/>
  </w:num>
  <w:num w:numId="3">
    <w:abstractNumId w:val="23"/>
  </w:num>
  <w:num w:numId="4">
    <w:abstractNumId w:val="18"/>
  </w:num>
  <w:num w:numId="5">
    <w:abstractNumId w:val="10"/>
  </w:num>
  <w:num w:numId="6">
    <w:abstractNumId w:val="11"/>
  </w:num>
  <w:num w:numId="7">
    <w:abstractNumId w:val="28"/>
  </w:num>
  <w:num w:numId="8">
    <w:abstractNumId w:val="34"/>
  </w:num>
  <w:num w:numId="9">
    <w:abstractNumId w:val="13"/>
  </w:num>
  <w:num w:numId="10">
    <w:abstractNumId w:val="12"/>
  </w:num>
  <w:num w:numId="11">
    <w:abstractNumId w:val="9"/>
  </w:num>
  <w:num w:numId="12">
    <w:abstractNumId w:val="33"/>
  </w:num>
  <w:num w:numId="13">
    <w:abstractNumId w:val="21"/>
  </w:num>
  <w:num w:numId="14">
    <w:abstractNumId w:val="30"/>
  </w:num>
  <w:num w:numId="15">
    <w:abstractNumId w:val="31"/>
  </w:num>
  <w:num w:numId="16">
    <w:abstractNumId w:val="1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num>
  <w:num w:numId="20">
    <w:abstractNumId w:val="1"/>
  </w:num>
  <w:num w:numId="21">
    <w:abstractNumId w:val="27"/>
  </w:num>
  <w:num w:numId="22">
    <w:abstractNumId w:val="26"/>
  </w:num>
  <w:num w:numId="23">
    <w:abstractNumId w:val="25"/>
  </w:num>
  <w:num w:numId="24">
    <w:abstractNumId w:val="17"/>
  </w:num>
  <w:num w:numId="25">
    <w:abstractNumId w:val="35"/>
  </w:num>
  <w:num w:numId="26">
    <w:abstractNumId w:val="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7"/>
  </w:num>
  <w:num w:numId="3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
  </w:num>
  <w:num w:numId="33">
    <w:abstractNumId w:val="2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
  </w:num>
  <w:num w:numId="37">
    <w:abstractNumId w:val="29"/>
  </w:num>
  <w:num w:numId="38">
    <w:abstractNumId w:val="24"/>
  </w:num>
  <w:num w:numId="39">
    <w:abstractNumId w:val="6"/>
  </w:num>
  <w:num w:numId="40">
    <w:abstractNumId w:val="0"/>
  </w:num>
  <w:num w:numId="41">
    <w:abstractNumId w:val="19"/>
  </w:num>
  <w:num w:numId="42">
    <w:abstractNumId w:val="24"/>
  </w:num>
  <w:num w:numId="43">
    <w:abstractNumId w:val="24"/>
  </w:num>
  <w:num w:numId="44">
    <w:abstractNumId w:val="2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28"/>
    <w:rsid w:val="00002749"/>
    <w:rsid w:val="00004651"/>
    <w:rsid w:val="0000484D"/>
    <w:rsid w:val="000054B4"/>
    <w:rsid w:val="00005D84"/>
    <w:rsid w:val="00005DC3"/>
    <w:rsid w:val="00011F56"/>
    <w:rsid w:val="00012E54"/>
    <w:rsid w:val="00015CC6"/>
    <w:rsid w:val="000166B0"/>
    <w:rsid w:val="00016F8E"/>
    <w:rsid w:val="00041211"/>
    <w:rsid w:val="00045C98"/>
    <w:rsid w:val="00047BC1"/>
    <w:rsid w:val="00050EFF"/>
    <w:rsid w:val="00052E61"/>
    <w:rsid w:val="00071906"/>
    <w:rsid w:val="000719AB"/>
    <w:rsid w:val="00072DCB"/>
    <w:rsid w:val="000763B2"/>
    <w:rsid w:val="00077FA3"/>
    <w:rsid w:val="000819D5"/>
    <w:rsid w:val="000A32CC"/>
    <w:rsid w:val="000A40AC"/>
    <w:rsid w:val="000B4BE4"/>
    <w:rsid w:val="000B5BD2"/>
    <w:rsid w:val="000C703F"/>
    <w:rsid w:val="000D1BA0"/>
    <w:rsid w:val="000D2FAC"/>
    <w:rsid w:val="000D57DD"/>
    <w:rsid w:val="000D5FD3"/>
    <w:rsid w:val="000E1F16"/>
    <w:rsid w:val="000E328B"/>
    <w:rsid w:val="000E6F7D"/>
    <w:rsid w:val="000E7636"/>
    <w:rsid w:val="000F1C56"/>
    <w:rsid w:val="000F22CC"/>
    <w:rsid w:val="000F3ABD"/>
    <w:rsid w:val="0011248D"/>
    <w:rsid w:val="00114312"/>
    <w:rsid w:val="00114B7E"/>
    <w:rsid w:val="00124F5B"/>
    <w:rsid w:val="00126D12"/>
    <w:rsid w:val="00144925"/>
    <w:rsid w:val="00150677"/>
    <w:rsid w:val="00151F2D"/>
    <w:rsid w:val="00154CB6"/>
    <w:rsid w:val="0016182A"/>
    <w:rsid w:val="001645DA"/>
    <w:rsid w:val="00165749"/>
    <w:rsid w:val="0016667C"/>
    <w:rsid w:val="001917BF"/>
    <w:rsid w:val="001971A6"/>
    <w:rsid w:val="001A0118"/>
    <w:rsid w:val="001A54B1"/>
    <w:rsid w:val="001A685F"/>
    <w:rsid w:val="001A7BC4"/>
    <w:rsid w:val="001B4C2A"/>
    <w:rsid w:val="001B5267"/>
    <w:rsid w:val="001B62E2"/>
    <w:rsid w:val="001B73BE"/>
    <w:rsid w:val="001C2489"/>
    <w:rsid w:val="001C6742"/>
    <w:rsid w:val="001D0B17"/>
    <w:rsid w:val="001D22ED"/>
    <w:rsid w:val="001D4495"/>
    <w:rsid w:val="001D5C95"/>
    <w:rsid w:val="001D6E46"/>
    <w:rsid w:val="001D7946"/>
    <w:rsid w:val="001E0989"/>
    <w:rsid w:val="001E129A"/>
    <w:rsid w:val="001E21D3"/>
    <w:rsid w:val="001E24FE"/>
    <w:rsid w:val="001E3304"/>
    <w:rsid w:val="001E543A"/>
    <w:rsid w:val="001E59A6"/>
    <w:rsid w:val="001E708E"/>
    <w:rsid w:val="001F24F8"/>
    <w:rsid w:val="002000D8"/>
    <w:rsid w:val="002009E0"/>
    <w:rsid w:val="00206D63"/>
    <w:rsid w:val="00206D9E"/>
    <w:rsid w:val="002114FB"/>
    <w:rsid w:val="00211500"/>
    <w:rsid w:val="00211AFC"/>
    <w:rsid w:val="00211EB4"/>
    <w:rsid w:val="0022232E"/>
    <w:rsid w:val="002225C1"/>
    <w:rsid w:val="0022319C"/>
    <w:rsid w:val="00224354"/>
    <w:rsid w:val="00224D9F"/>
    <w:rsid w:val="00226B7D"/>
    <w:rsid w:val="002308BA"/>
    <w:rsid w:val="00231298"/>
    <w:rsid w:val="00231AD8"/>
    <w:rsid w:val="0023627F"/>
    <w:rsid w:val="00241757"/>
    <w:rsid w:val="00243249"/>
    <w:rsid w:val="00251DEC"/>
    <w:rsid w:val="002604F6"/>
    <w:rsid w:val="002642A0"/>
    <w:rsid w:val="002649B4"/>
    <w:rsid w:val="00264E25"/>
    <w:rsid w:val="00265450"/>
    <w:rsid w:val="00276B96"/>
    <w:rsid w:val="00282D28"/>
    <w:rsid w:val="00284D70"/>
    <w:rsid w:val="002A0475"/>
    <w:rsid w:val="002A1FBF"/>
    <w:rsid w:val="002A56E8"/>
    <w:rsid w:val="002A75C9"/>
    <w:rsid w:val="002C2222"/>
    <w:rsid w:val="002C300B"/>
    <w:rsid w:val="002C7E3F"/>
    <w:rsid w:val="002D3379"/>
    <w:rsid w:val="002D3DA2"/>
    <w:rsid w:val="002D73EB"/>
    <w:rsid w:val="002D7892"/>
    <w:rsid w:val="002E257E"/>
    <w:rsid w:val="002E69DB"/>
    <w:rsid w:val="002F32C5"/>
    <w:rsid w:val="002F38B7"/>
    <w:rsid w:val="002F3DF0"/>
    <w:rsid w:val="0031090F"/>
    <w:rsid w:val="0031379B"/>
    <w:rsid w:val="003163E2"/>
    <w:rsid w:val="00316AC5"/>
    <w:rsid w:val="00323176"/>
    <w:rsid w:val="003358C9"/>
    <w:rsid w:val="00336AD5"/>
    <w:rsid w:val="00337775"/>
    <w:rsid w:val="0034071A"/>
    <w:rsid w:val="00341115"/>
    <w:rsid w:val="00342511"/>
    <w:rsid w:val="003428F8"/>
    <w:rsid w:val="00344000"/>
    <w:rsid w:val="00344BD8"/>
    <w:rsid w:val="00353069"/>
    <w:rsid w:val="00354889"/>
    <w:rsid w:val="003616C2"/>
    <w:rsid w:val="00366DF0"/>
    <w:rsid w:val="00371B82"/>
    <w:rsid w:val="003725B1"/>
    <w:rsid w:val="0038685D"/>
    <w:rsid w:val="00386CFC"/>
    <w:rsid w:val="00391DDA"/>
    <w:rsid w:val="00393FAB"/>
    <w:rsid w:val="0039772A"/>
    <w:rsid w:val="003A17BB"/>
    <w:rsid w:val="003A369A"/>
    <w:rsid w:val="003A385C"/>
    <w:rsid w:val="003A7C76"/>
    <w:rsid w:val="003B0606"/>
    <w:rsid w:val="003B08EC"/>
    <w:rsid w:val="003B6746"/>
    <w:rsid w:val="003B6B97"/>
    <w:rsid w:val="003C3523"/>
    <w:rsid w:val="003C49AB"/>
    <w:rsid w:val="003C4C41"/>
    <w:rsid w:val="003C75E0"/>
    <w:rsid w:val="003D010C"/>
    <w:rsid w:val="003D08E7"/>
    <w:rsid w:val="003D716D"/>
    <w:rsid w:val="003E0533"/>
    <w:rsid w:val="003E284D"/>
    <w:rsid w:val="003E32E6"/>
    <w:rsid w:val="003E4AD8"/>
    <w:rsid w:val="003E5FDF"/>
    <w:rsid w:val="003E65D4"/>
    <w:rsid w:val="003F12C1"/>
    <w:rsid w:val="003F558F"/>
    <w:rsid w:val="003F5BC1"/>
    <w:rsid w:val="003F6F8C"/>
    <w:rsid w:val="00410B1D"/>
    <w:rsid w:val="00413241"/>
    <w:rsid w:val="00415650"/>
    <w:rsid w:val="00420C32"/>
    <w:rsid w:val="0042385F"/>
    <w:rsid w:val="00427958"/>
    <w:rsid w:val="00431232"/>
    <w:rsid w:val="0043162A"/>
    <w:rsid w:val="004343FF"/>
    <w:rsid w:val="00452528"/>
    <w:rsid w:val="004636A1"/>
    <w:rsid w:val="00464DC9"/>
    <w:rsid w:val="00464ED6"/>
    <w:rsid w:val="004677C3"/>
    <w:rsid w:val="0047092A"/>
    <w:rsid w:val="0047102E"/>
    <w:rsid w:val="004726D4"/>
    <w:rsid w:val="00474BA3"/>
    <w:rsid w:val="00475BA4"/>
    <w:rsid w:val="00476FD8"/>
    <w:rsid w:val="00481184"/>
    <w:rsid w:val="004826F8"/>
    <w:rsid w:val="0048386C"/>
    <w:rsid w:val="00484400"/>
    <w:rsid w:val="00486673"/>
    <w:rsid w:val="00490541"/>
    <w:rsid w:val="004927C4"/>
    <w:rsid w:val="004A5876"/>
    <w:rsid w:val="004B20AE"/>
    <w:rsid w:val="004B75DF"/>
    <w:rsid w:val="004C0B3C"/>
    <w:rsid w:val="004C1983"/>
    <w:rsid w:val="004C36AF"/>
    <w:rsid w:val="004C4FC5"/>
    <w:rsid w:val="004C5D53"/>
    <w:rsid w:val="004C736F"/>
    <w:rsid w:val="004D065D"/>
    <w:rsid w:val="004D0AD5"/>
    <w:rsid w:val="004D6A45"/>
    <w:rsid w:val="004E212C"/>
    <w:rsid w:val="004E2B91"/>
    <w:rsid w:val="004E4385"/>
    <w:rsid w:val="004E5B1D"/>
    <w:rsid w:val="004F0293"/>
    <w:rsid w:val="004F2280"/>
    <w:rsid w:val="004F260E"/>
    <w:rsid w:val="00507E5F"/>
    <w:rsid w:val="00511DC5"/>
    <w:rsid w:val="0052176E"/>
    <w:rsid w:val="00524C62"/>
    <w:rsid w:val="005264BB"/>
    <w:rsid w:val="00527B74"/>
    <w:rsid w:val="0053018E"/>
    <w:rsid w:val="005347E6"/>
    <w:rsid w:val="00544EB2"/>
    <w:rsid w:val="0055388E"/>
    <w:rsid w:val="00554D20"/>
    <w:rsid w:val="00560D75"/>
    <w:rsid w:val="0056672A"/>
    <w:rsid w:val="005670F5"/>
    <w:rsid w:val="00573D13"/>
    <w:rsid w:val="00577225"/>
    <w:rsid w:val="00584B82"/>
    <w:rsid w:val="00584C80"/>
    <w:rsid w:val="005862C4"/>
    <w:rsid w:val="0058666B"/>
    <w:rsid w:val="005920A5"/>
    <w:rsid w:val="005A3AC8"/>
    <w:rsid w:val="005B29AA"/>
    <w:rsid w:val="005B329A"/>
    <w:rsid w:val="005B7A89"/>
    <w:rsid w:val="005C034D"/>
    <w:rsid w:val="005C2134"/>
    <w:rsid w:val="005C2FE7"/>
    <w:rsid w:val="005C460B"/>
    <w:rsid w:val="005C4ACE"/>
    <w:rsid w:val="005D39C3"/>
    <w:rsid w:val="005D5614"/>
    <w:rsid w:val="005D6970"/>
    <w:rsid w:val="005D71F5"/>
    <w:rsid w:val="005D758D"/>
    <w:rsid w:val="005E08D1"/>
    <w:rsid w:val="005F10F7"/>
    <w:rsid w:val="005F1D86"/>
    <w:rsid w:val="005F3631"/>
    <w:rsid w:val="005F6D4B"/>
    <w:rsid w:val="00600C34"/>
    <w:rsid w:val="00611B33"/>
    <w:rsid w:val="00612B13"/>
    <w:rsid w:val="0061585F"/>
    <w:rsid w:val="00620433"/>
    <w:rsid w:val="00632C17"/>
    <w:rsid w:val="006335AC"/>
    <w:rsid w:val="0063673E"/>
    <w:rsid w:val="00641578"/>
    <w:rsid w:val="0064511A"/>
    <w:rsid w:val="00647D31"/>
    <w:rsid w:val="0065702E"/>
    <w:rsid w:val="00657641"/>
    <w:rsid w:val="006610B7"/>
    <w:rsid w:val="006618DB"/>
    <w:rsid w:val="0066352F"/>
    <w:rsid w:val="0066422B"/>
    <w:rsid w:val="006668B6"/>
    <w:rsid w:val="00670B39"/>
    <w:rsid w:val="006723C1"/>
    <w:rsid w:val="00681FDC"/>
    <w:rsid w:val="0068361A"/>
    <w:rsid w:val="00691EA1"/>
    <w:rsid w:val="00692D4F"/>
    <w:rsid w:val="00693E93"/>
    <w:rsid w:val="0069565C"/>
    <w:rsid w:val="0069656D"/>
    <w:rsid w:val="006A2022"/>
    <w:rsid w:val="006A3106"/>
    <w:rsid w:val="006A41CB"/>
    <w:rsid w:val="006A62CA"/>
    <w:rsid w:val="006A6F89"/>
    <w:rsid w:val="006B0645"/>
    <w:rsid w:val="006D7DA2"/>
    <w:rsid w:val="006E2F61"/>
    <w:rsid w:val="006E3652"/>
    <w:rsid w:val="006F7BCE"/>
    <w:rsid w:val="00701E0C"/>
    <w:rsid w:val="00703A61"/>
    <w:rsid w:val="00703D13"/>
    <w:rsid w:val="0070549F"/>
    <w:rsid w:val="00706F6A"/>
    <w:rsid w:val="007113C1"/>
    <w:rsid w:val="0071707E"/>
    <w:rsid w:val="0072158B"/>
    <w:rsid w:val="00723796"/>
    <w:rsid w:val="00725E99"/>
    <w:rsid w:val="00730EC1"/>
    <w:rsid w:val="0073200D"/>
    <w:rsid w:val="00744F6D"/>
    <w:rsid w:val="00745453"/>
    <w:rsid w:val="00746CA2"/>
    <w:rsid w:val="00754FAA"/>
    <w:rsid w:val="0076293B"/>
    <w:rsid w:val="0076639A"/>
    <w:rsid w:val="007709A5"/>
    <w:rsid w:val="00770B1A"/>
    <w:rsid w:val="00772C63"/>
    <w:rsid w:val="00780F00"/>
    <w:rsid w:val="0079090B"/>
    <w:rsid w:val="0079189C"/>
    <w:rsid w:val="007940B7"/>
    <w:rsid w:val="00794ED7"/>
    <w:rsid w:val="00795AFF"/>
    <w:rsid w:val="007A23CB"/>
    <w:rsid w:val="007A68B7"/>
    <w:rsid w:val="007B1420"/>
    <w:rsid w:val="007B5250"/>
    <w:rsid w:val="007B6B4C"/>
    <w:rsid w:val="007D3969"/>
    <w:rsid w:val="007E2090"/>
    <w:rsid w:val="007E2381"/>
    <w:rsid w:val="007E7F55"/>
    <w:rsid w:val="007F2854"/>
    <w:rsid w:val="007F4EF3"/>
    <w:rsid w:val="007F696B"/>
    <w:rsid w:val="007F6E34"/>
    <w:rsid w:val="007F7174"/>
    <w:rsid w:val="00805013"/>
    <w:rsid w:val="0080653B"/>
    <w:rsid w:val="00812EF4"/>
    <w:rsid w:val="00814D83"/>
    <w:rsid w:val="008168A9"/>
    <w:rsid w:val="00822E6B"/>
    <w:rsid w:val="00823B96"/>
    <w:rsid w:val="00823FBC"/>
    <w:rsid w:val="008354E7"/>
    <w:rsid w:val="00840E7A"/>
    <w:rsid w:val="00843077"/>
    <w:rsid w:val="008572CD"/>
    <w:rsid w:val="008735E3"/>
    <w:rsid w:val="008816D0"/>
    <w:rsid w:val="00883B19"/>
    <w:rsid w:val="00883E6F"/>
    <w:rsid w:val="0088600B"/>
    <w:rsid w:val="00891021"/>
    <w:rsid w:val="008945A3"/>
    <w:rsid w:val="008A1D5D"/>
    <w:rsid w:val="008A4F16"/>
    <w:rsid w:val="008B4957"/>
    <w:rsid w:val="008C0552"/>
    <w:rsid w:val="008C0CDE"/>
    <w:rsid w:val="008C27EE"/>
    <w:rsid w:val="008C2BAF"/>
    <w:rsid w:val="008D378B"/>
    <w:rsid w:val="008D521E"/>
    <w:rsid w:val="008E0CE6"/>
    <w:rsid w:val="008E279B"/>
    <w:rsid w:val="008E62BA"/>
    <w:rsid w:val="008E6CAD"/>
    <w:rsid w:val="008F1038"/>
    <w:rsid w:val="008F4BAC"/>
    <w:rsid w:val="00916ED9"/>
    <w:rsid w:val="00917690"/>
    <w:rsid w:val="00920A86"/>
    <w:rsid w:val="00924507"/>
    <w:rsid w:val="0093280C"/>
    <w:rsid w:val="0093349C"/>
    <w:rsid w:val="00933813"/>
    <w:rsid w:val="009369AB"/>
    <w:rsid w:val="009424D4"/>
    <w:rsid w:val="00943678"/>
    <w:rsid w:val="00954BFE"/>
    <w:rsid w:val="00955056"/>
    <w:rsid w:val="00957947"/>
    <w:rsid w:val="009617EB"/>
    <w:rsid w:val="00972EC2"/>
    <w:rsid w:val="00980ABC"/>
    <w:rsid w:val="00984887"/>
    <w:rsid w:val="00985559"/>
    <w:rsid w:val="009855FA"/>
    <w:rsid w:val="009A0668"/>
    <w:rsid w:val="009B4352"/>
    <w:rsid w:val="009B4942"/>
    <w:rsid w:val="009B562E"/>
    <w:rsid w:val="009C2103"/>
    <w:rsid w:val="009C225C"/>
    <w:rsid w:val="009C254C"/>
    <w:rsid w:val="009C5191"/>
    <w:rsid w:val="009C7765"/>
    <w:rsid w:val="009D0ABB"/>
    <w:rsid w:val="009D1DC9"/>
    <w:rsid w:val="009D2B22"/>
    <w:rsid w:val="009D3E31"/>
    <w:rsid w:val="009D442E"/>
    <w:rsid w:val="009E780F"/>
    <w:rsid w:val="009F132D"/>
    <w:rsid w:val="009F36B3"/>
    <w:rsid w:val="009F386E"/>
    <w:rsid w:val="009F4A23"/>
    <w:rsid w:val="00A02239"/>
    <w:rsid w:val="00A053D5"/>
    <w:rsid w:val="00A07655"/>
    <w:rsid w:val="00A1267B"/>
    <w:rsid w:val="00A12AE6"/>
    <w:rsid w:val="00A14071"/>
    <w:rsid w:val="00A22257"/>
    <w:rsid w:val="00A26D27"/>
    <w:rsid w:val="00A3022F"/>
    <w:rsid w:val="00A30F79"/>
    <w:rsid w:val="00A31CD6"/>
    <w:rsid w:val="00A325E3"/>
    <w:rsid w:val="00A32965"/>
    <w:rsid w:val="00A33146"/>
    <w:rsid w:val="00A33F4B"/>
    <w:rsid w:val="00A422CB"/>
    <w:rsid w:val="00A441E6"/>
    <w:rsid w:val="00A54A80"/>
    <w:rsid w:val="00A5548F"/>
    <w:rsid w:val="00A60E3D"/>
    <w:rsid w:val="00A64070"/>
    <w:rsid w:val="00A66B7D"/>
    <w:rsid w:val="00A67935"/>
    <w:rsid w:val="00A76DCA"/>
    <w:rsid w:val="00A7795F"/>
    <w:rsid w:val="00A86746"/>
    <w:rsid w:val="00A86A55"/>
    <w:rsid w:val="00A93CBA"/>
    <w:rsid w:val="00A95038"/>
    <w:rsid w:val="00AA0527"/>
    <w:rsid w:val="00AB0AA6"/>
    <w:rsid w:val="00AB269B"/>
    <w:rsid w:val="00AB6E4B"/>
    <w:rsid w:val="00AC417D"/>
    <w:rsid w:val="00AC4240"/>
    <w:rsid w:val="00AC4688"/>
    <w:rsid w:val="00AC756E"/>
    <w:rsid w:val="00AD24F5"/>
    <w:rsid w:val="00AD3817"/>
    <w:rsid w:val="00AD681A"/>
    <w:rsid w:val="00AE4BB8"/>
    <w:rsid w:val="00AE5374"/>
    <w:rsid w:val="00AE5D14"/>
    <w:rsid w:val="00AF15EA"/>
    <w:rsid w:val="00AF15FA"/>
    <w:rsid w:val="00AF1AE1"/>
    <w:rsid w:val="00AF2695"/>
    <w:rsid w:val="00AF43EE"/>
    <w:rsid w:val="00AF4576"/>
    <w:rsid w:val="00B0223A"/>
    <w:rsid w:val="00B0454E"/>
    <w:rsid w:val="00B051CC"/>
    <w:rsid w:val="00B06DA7"/>
    <w:rsid w:val="00B0732D"/>
    <w:rsid w:val="00B144F3"/>
    <w:rsid w:val="00B20024"/>
    <w:rsid w:val="00B22BAC"/>
    <w:rsid w:val="00B31319"/>
    <w:rsid w:val="00B319C7"/>
    <w:rsid w:val="00B352E1"/>
    <w:rsid w:val="00B36660"/>
    <w:rsid w:val="00B42F57"/>
    <w:rsid w:val="00B43553"/>
    <w:rsid w:val="00B53536"/>
    <w:rsid w:val="00B56FA7"/>
    <w:rsid w:val="00B57149"/>
    <w:rsid w:val="00B614EE"/>
    <w:rsid w:val="00B63296"/>
    <w:rsid w:val="00B668BA"/>
    <w:rsid w:val="00B67898"/>
    <w:rsid w:val="00B82AE1"/>
    <w:rsid w:val="00B82EF2"/>
    <w:rsid w:val="00B850E6"/>
    <w:rsid w:val="00B8626D"/>
    <w:rsid w:val="00B87DA1"/>
    <w:rsid w:val="00B90171"/>
    <w:rsid w:val="00B90BAC"/>
    <w:rsid w:val="00BA0A49"/>
    <w:rsid w:val="00BA2C12"/>
    <w:rsid w:val="00BA7A38"/>
    <w:rsid w:val="00BB107D"/>
    <w:rsid w:val="00BB227D"/>
    <w:rsid w:val="00BB7DE5"/>
    <w:rsid w:val="00BC516F"/>
    <w:rsid w:val="00BC51B6"/>
    <w:rsid w:val="00BC7687"/>
    <w:rsid w:val="00BD09C6"/>
    <w:rsid w:val="00BD2240"/>
    <w:rsid w:val="00BD63CA"/>
    <w:rsid w:val="00BD695B"/>
    <w:rsid w:val="00BE338D"/>
    <w:rsid w:val="00BE583E"/>
    <w:rsid w:val="00BE5D73"/>
    <w:rsid w:val="00BE62B0"/>
    <w:rsid w:val="00BE7729"/>
    <w:rsid w:val="00BF1C6D"/>
    <w:rsid w:val="00BF2F28"/>
    <w:rsid w:val="00BF3D44"/>
    <w:rsid w:val="00BF4E76"/>
    <w:rsid w:val="00BF6425"/>
    <w:rsid w:val="00BF79C8"/>
    <w:rsid w:val="00C20B68"/>
    <w:rsid w:val="00C258A0"/>
    <w:rsid w:val="00C26651"/>
    <w:rsid w:val="00C33B8F"/>
    <w:rsid w:val="00C47B5D"/>
    <w:rsid w:val="00C5008E"/>
    <w:rsid w:val="00C53F9F"/>
    <w:rsid w:val="00C55B8F"/>
    <w:rsid w:val="00C57984"/>
    <w:rsid w:val="00C57A17"/>
    <w:rsid w:val="00C57D9C"/>
    <w:rsid w:val="00C63E7D"/>
    <w:rsid w:val="00C66195"/>
    <w:rsid w:val="00C758F9"/>
    <w:rsid w:val="00C802C5"/>
    <w:rsid w:val="00C8186A"/>
    <w:rsid w:val="00C83808"/>
    <w:rsid w:val="00C877C9"/>
    <w:rsid w:val="00C91F2D"/>
    <w:rsid w:val="00C93C82"/>
    <w:rsid w:val="00CA7216"/>
    <w:rsid w:val="00CB33BA"/>
    <w:rsid w:val="00CB4838"/>
    <w:rsid w:val="00CB4992"/>
    <w:rsid w:val="00CB7FB2"/>
    <w:rsid w:val="00CC33B6"/>
    <w:rsid w:val="00CC50DC"/>
    <w:rsid w:val="00CD1B4E"/>
    <w:rsid w:val="00CD31BA"/>
    <w:rsid w:val="00CD3764"/>
    <w:rsid w:val="00CD7669"/>
    <w:rsid w:val="00CE39B6"/>
    <w:rsid w:val="00CE6BD7"/>
    <w:rsid w:val="00CF13ED"/>
    <w:rsid w:val="00D11ACD"/>
    <w:rsid w:val="00D1373A"/>
    <w:rsid w:val="00D15173"/>
    <w:rsid w:val="00D15209"/>
    <w:rsid w:val="00D16852"/>
    <w:rsid w:val="00D16B3D"/>
    <w:rsid w:val="00D1756B"/>
    <w:rsid w:val="00D22100"/>
    <w:rsid w:val="00D22CE8"/>
    <w:rsid w:val="00D24E93"/>
    <w:rsid w:val="00D27427"/>
    <w:rsid w:val="00D31513"/>
    <w:rsid w:val="00D32D61"/>
    <w:rsid w:val="00D3435D"/>
    <w:rsid w:val="00D433C0"/>
    <w:rsid w:val="00D46E7F"/>
    <w:rsid w:val="00D51851"/>
    <w:rsid w:val="00D56808"/>
    <w:rsid w:val="00D577DF"/>
    <w:rsid w:val="00D626F3"/>
    <w:rsid w:val="00D62B8D"/>
    <w:rsid w:val="00D63B54"/>
    <w:rsid w:val="00D66BFA"/>
    <w:rsid w:val="00D731D5"/>
    <w:rsid w:val="00D77E7B"/>
    <w:rsid w:val="00D80AD7"/>
    <w:rsid w:val="00D80C9D"/>
    <w:rsid w:val="00D82EE3"/>
    <w:rsid w:val="00D834AE"/>
    <w:rsid w:val="00D85B04"/>
    <w:rsid w:val="00D87B3F"/>
    <w:rsid w:val="00D97C3A"/>
    <w:rsid w:val="00D97EB1"/>
    <w:rsid w:val="00DB0463"/>
    <w:rsid w:val="00DB2771"/>
    <w:rsid w:val="00DB33F4"/>
    <w:rsid w:val="00DC02F3"/>
    <w:rsid w:val="00DC12D9"/>
    <w:rsid w:val="00DC62AC"/>
    <w:rsid w:val="00DC7514"/>
    <w:rsid w:val="00DC7AB6"/>
    <w:rsid w:val="00DD1100"/>
    <w:rsid w:val="00DE3A10"/>
    <w:rsid w:val="00DF18E2"/>
    <w:rsid w:val="00DF2004"/>
    <w:rsid w:val="00DF20C9"/>
    <w:rsid w:val="00DF4B47"/>
    <w:rsid w:val="00E023FF"/>
    <w:rsid w:val="00E03CDB"/>
    <w:rsid w:val="00E04BC1"/>
    <w:rsid w:val="00E05021"/>
    <w:rsid w:val="00E10D69"/>
    <w:rsid w:val="00E118AB"/>
    <w:rsid w:val="00E125A9"/>
    <w:rsid w:val="00E13648"/>
    <w:rsid w:val="00E13D52"/>
    <w:rsid w:val="00E14CA2"/>
    <w:rsid w:val="00E171FF"/>
    <w:rsid w:val="00E20C4B"/>
    <w:rsid w:val="00E21716"/>
    <w:rsid w:val="00E21978"/>
    <w:rsid w:val="00E414A5"/>
    <w:rsid w:val="00E417E1"/>
    <w:rsid w:val="00E43BD2"/>
    <w:rsid w:val="00E629A0"/>
    <w:rsid w:val="00E66133"/>
    <w:rsid w:val="00E71CE0"/>
    <w:rsid w:val="00E7522D"/>
    <w:rsid w:val="00E77D20"/>
    <w:rsid w:val="00E86F10"/>
    <w:rsid w:val="00E874E4"/>
    <w:rsid w:val="00E87AEB"/>
    <w:rsid w:val="00E9034A"/>
    <w:rsid w:val="00E919EC"/>
    <w:rsid w:val="00EA3D5D"/>
    <w:rsid w:val="00EB04DA"/>
    <w:rsid w:val="00EB1D49"/>
    <w:rsid w:val="00EB58DD"/>
    <w:rsid w:val="00EB73CD"/>
    <w:rsid w:val="00EB7B65"/>
    <w:rsid w:val="00EC2B89"/>
    <w:rsid w:val="00EC64B3"/>
    <w:rsid w:val="00EC693B"/>
    <w:rsid w:val="00ED0014"/>
    <w:rsid w:val="00ED462B"/>
    <w:rsid w:val="00ED5F55"/>
    <w:rsid w:val="00EE0281"/>
    <w:rsid w:val="00EF1E96"/>
    <w:rsid w:val="00EF4B63"/>
    <w:rsid w:val="00EF69CA"/>
    <w:rsid w:val="00EF6B17"/>
    <w:rsid w:val="00F121E0"/>
    <w:rsid w:val="00F217BA"/>
    <w:rsid w:val="00F44C10"/>
    <w:rsid w:val="00F56547"/>
    <w:rsid w:val="00F57F94"/>
    <w:rsid w:val="00F610B6"/>
    <w:rsid w:val="00F75CDB"/>
    <w:rsid w:val="00F8298C"/>
    <w:rsid w:val="00F86168"/>
    <w:rsid w:val="00F8651B"/>
    <w:rsid w:val="00FA26E7"/>
    <w:rsid w:val="00FA3D30"/>
    <w:rsid w:val="00FB2EDC"/>
    <w:rsid w:val="00FB7183"/>
    <w:rsid w:val="00FC043C"/>
    <w:rsid w:val="00FC2582"/>
    <w:rsid w:val="00FC348D"/>
    <w:rsid w:val="00FD1692"/>
    <w:rsid w:val="00FD2AE5"/>
    <w:rsid w:val="00FD7993"/>
    <w:rsid w:val="00FE327B"/>
    <w:rsid w:val="00FE69C3"/>
    <w:rsid w:val="00FE71DC"/>
    <w:rsid w:val="00FF0045"/>
    <w:rsid w:val="00FF06DD"/>
    <w:rsid w:val="00FF0CBD"/>
    <w:rsid w:val="00FF0D0F"/>
    <w:rsid w:val="00FF748E"/>
    <w:rsid w:val="00FF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5"/>
    <o:shapelayout v:ext="edit">
      <o:idmap v:ext="edit" data="1"/>
    </o:shapelayout>
  </w:shapeDefaults>
  <w:decimalSymbol w:val="."/>
  <w:listSeparator w:val=","/>
  <w15:docId w15:val="{8EFC1D06-AD64-4BF5-BB3D-E25DE67D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765"/>
    <w:pPr>
      <w:spacing w:line="260" w:lineRule="atLeast"/>
    </w:pPr>
    <w:rPr>
      <w:lang w:eastAsia="en-US"/>
    </w:rPr>
  </w:style>
  <w:style w:type="paragraph" w:styleId="Heading1">
    <w:name w:val="heading 1"/>
    <w:basedOn w:val="Normal"/>
    <w:next w:val="Normal"/>
    <w:link w:val="Heading1Char"/>
    <w:uiPriority w:val="99"/>
    <w:qFormat/>
    <w:rsid w:val="008A4F1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9A0668"/>
    <w:pPr>
      <w:keepNext/>
      <w:spacing w:before="240" w:after="60" w:line="240" w:lineRule="auto"/>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4F16"/>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locked/>
    <w:rsid w:val="009C5191"/>
    <w:rPr>
      <w:rFonts w:ascii="Arial" w:hAnsi="Arial" w:cs="Arial"/>
      <w:b/>
      <w:bCs/>
      <w:sz w:val="26"/>
      <w:szCs w:val="26"/>
    </w:rPr>
  </w:style>
  <w:style w:type="paragraph" w:styleId="BodyText">
    <w:name w:val="Body Text"/>
    <w:basedOn w:val="Normal"/>
    <w:link w:val="BodyTextChar"/>
    <w:rsid w:val="009C7765"/>
    <w:pPr>
      <w:spacing w:after="260"/>
    </w:pPr>
  </w:style>
  <w:style w:type="character" w:customStyle="1" w:styleId="BodyTextChar">
    <w:name w:val="Body Text Char"/>
    <w:basedOn w:val="DefaultParagraphFont"/>
    <w:link w:val="BodyText"/>
    <w:rsid w:val="005B3B2C"/>
    <w:rPr>
      <w:sz w:val="20"/>
      <w:szCs w:val="20"/>
      <w:lang w:eastAsia="en-US"/>
    </w:rPr>
  </w:style>
  <w:style w:type="paragraph" w:customStyle="1" w:styleId="TableText">
    <w:name w:val="Table Text"/>
    <w:basedOn w:val="Normal"/>
    <w:uiPriority w:val="99"/>
    <w:rsid w:val="009C7765"/>
    <w:pPr>
      <w:spacing w:before="120" w:after="170"/>
    </w:pPr>
  </w:style>
  <w:style w:type="paragraph" w:customStyle="1" w:styleId="TableColumnHeader">
    <w:name w:val="Table Column Header"/>
    <w:basedOn w:val="TableText"/>
    <w:uiPriority w:val="99"/>
    <w:rsid w:val="009C7765"/>
    <w:rPr>
      <w:b/>
    </w:rPr>
  </w:style>
  <w:style w:type="paragraph" w:styleId="BodyTextIndent">
    <w:name w:val="Body Text Indent"/>
    <w:basedOn w:val="Normal"/>
    <w:link w:val="BodyTextIndentChar"/>
    <w:uiPriority w:val="99"/>
    <w:rsid w:val="009C7765"/>
    <w:pPr>
      <w:spacing w:after="120"/>
      <w:ind w:left="283"/>
    </w:pPr>
  </w:style>
  <w:style w:type="character" w:customStyle="1" w:styleId="BodyTextIndentChar">
    <w:name w:val="Body Text Indent Char"/>
    <w:basedOn w:val="DefaultParagraphFont"/>
    <w:link w:val="BodyTextIndent"/>
    <w:uiPriority w:val="99"/>
    <w:semiHidden/>
    <w:rsid w:val="005B3B2C"/>
    <w:rPr>
      <w:sz w:val="20"/>
      <w:szCs w:val="20"/>
      <w:lang w:eastAsia="en-US"/>
    </w:rPr>
  </w:style>
  <w:style w:type="paragraph" w:styleId="Footer">
    <w:name w:val="footer"/>
    <w:basedOn w:val="Normal"/>
    <w:link w:val="FooterChar"/>
    <w:uiPriority w:val="99"/>
    <w:rsid w:val="00A86746"/>
    <w:pPr>
      <w:tabs>
        <w:tab w:val="center" w:pos="4153"/>
        <w:tab w:val="right" w:pos="8306"/>
      </w:tabs>
    </w:pPr>
  </w:style>
  <w:style w:type="character" w:customStyle="1" w:styleId="FooterChar">
    <w:name w:val="Footer Char"/>
    <w:basedOn w:val="DefaultParagraphFont"/>
    <w:link w:val="Footer"/>
    <w:uiPriority w:val="99"/>
    <w:rsid w:val="005B3B2C"/>
    <w:rPr>
      <w:sz w:val="20"/>
      <w:szCs w:val="20"/>
      <w:lang w:eastAsia="en-US"/>
    </w:rPr>
  </w:style>
  <w:style w:type="character" w:styleId="PageNumber">
    <w:name w:val="page number"/>
    <w:basedOn w:val="DefaultParagraphFont"/>
    <w:uiPriority w:val="99"/>
    <w:rsid w:val="00A86746"/>
    <w:rPr>
      <w:rFonts w:cs="Times New Roman"/>
    </w:rPr>
  </w:style>
  <w:style w:type="paragraph" w:styleId="Header">
    <w:name w:val="header"/>
    <w:basedOn w:val="Normal"/>
    <w:link w:val="HeaderChar"/>
    <w:uiPriority w:val="99"/>
    <w:rsid w:val="00A86746"/>
    <w:pPr>
      <w:tabs>
        <w:tab w:val="center" w:pos="4320"/>
        <w:tab w:val="right" w:pos="8640"/>
      </w:tabs>
    </w:pPr>
  </w:style>
  <w:style w:type="character" w:customStyle="1" w:styleId="HeaderChar">
    <w:name w:val="Header Char"/>
    <w:basedOn w:val="DefaultParagraphFont"/>
    <w:link w:val="Header"/>
    <w:uiPriority w:val="99"/>
    <w:semiHidden/>
    <w:rsid w:val="005B3B2C"/>
    <w:rPr>
      <w:sz w:val="20"/>
      <w:szCs w:val="20"/>
      <w:lang w:eastAsia="en-US"/>
    </w:rPr>
  </w:style>
  <w:style w:type="paragraph" w:styleId="BodyText3">
    <w:name w:val="Body Text 3"/>
    <w:basedOn w:val="Normal"/>
    <w:link w:val="BodyText3Char"/>
    <w:uiPriority w:val="99"/>
    <w:rsid w:val="008E62BA"/>
    <w:pPr>
      <w:spacing w:line="240" w:lineRule="auto"/>
      <w:jc w:val="both"/>
    </w:pPr>
    <w:rPr>
      <w:rFonts w:ascii="Univers" w:hAnsi="Univers"/>
      <w:sz w:val="24"/>
    </w:rPr>
  </w:style>
  <w:style w:type="character" w:customStyle="1" w:styleId="BodyText3Char">
    <w:name w:val="Body Text 3 Char"/>
    <w:basedOn w:val="DefaultParagraphFont"/>
    <w:link w:val="BodyText3"/>
    <w:uiPriority w:val="99"/>
    <w:semiHidden/>
    <w:rsid w:val="005B3B2C"/>
    <w:rPr>
      <w:sz w:val="16"/>
      <w:szCs w:val="16"/>
      <w:lang w:eastAsia="en-US"/>
    </w:rPr>
  </w:style>
  <w:style w:type="paragraph" w:styleId="BalloonText">
    <w:name w:val="Balloon Text"/>
    <w:basedOn w:val="Normal"/>
    <w:link w:val="BalloonTextChar"/>
    <w:uiPriority w:val="99"/>
    <w:semiHidden/>
    <w:rsid w:val="00814D83"/>
    <w:rPr>
      <w:rFonts w:ascii="Tahoma" w:hAnsi="Tahoma" w:cs="Tahoma"/>
      <w:sz w:val="16"/>
      <w:szCs w:val="16"/>
    </w:rPr>
  </w:style>
  <w:style w:type="character" w:customStyle="1" w:styleId="BalloonTextChar">
    <w:name w:val="Balloon Text Char"/>
    <w:basedOn w:val="DefaultParagraphFont"/>
    <w:link w:val="BalloonText"/>
    <w:uiPriority w:val="99"/>
    <w:semiHidden/>
    <w:rsid w:val="005B3B2C"/>
    <w:rPr>
      <w:sz w:val="0"/>
      <w:szCs w:val="0"/>
      <w:lang w:eastAsia="en-US"/>
    </w:rPr>
  </w:style>
  <w:style w:type="paragraph" w:styleId="TOC1">
    <w:name w:val="toc 1"/>
    <w:basedOn w:val="Normal"/>
    <w:next w:val="Normal"/>
    <w:uiPriority w:val="99"/>
    <w:semiHidden/>
    <w:rsid w:val="003A385C"/>
    <w:pPr>
      <w:spacing w:before="120" w:after="240"/>
    </w:pPr>
  </w:style>
  <w:style w:type="paragraph" w:customStyle="1" w:styleId="Default">
    <w:name w:val="Default"/>
    <w:rsid w:val="00F86168"/>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015CC6"/>
    <w:pPr>
      <w:numPr>
        <w:numId w:val="31"/>
      </w:numPr>
      <w:spacing w:line="240" w:lineRule="auto"/>
      <w:contextualSpacing/>
    </w:pPr>
    <w:rPr>
      <w:rFonts w:ascii="Arial" w:hAnsi="Arial"/>
      <w:sz w:val="24"/>
      <w:szCs w:val="24"/>
      <w:lang w:eastAsia="en-GB"/>
    </w:rPr>
  </w:style>
  <w:style w:type="character" w:customStyle="1" w:styleId="ListParagraphChar">
    <w:name w:val="List Paragraph Char"/>
    <w:basedOn w:val="DefaultParagraphFont"/>
    <w:link w:val="ListParagraph"/>
    <w:uiPriority w:val="99"/>
    <w:locked/>
    <w:rsid w:val="00015CC6"/>
    <w:rPr>
      <w:rFonts w:ascii="Arial" w:hAnsi="Arial" w:cs="Times New Roman"/>
      <w:sz w:val="24"/>
      <w:szCs w:val="24"/>
    </w:rPr>
  </w:style>
  <w:style w:type="character" w:styleId="CommentReference">
    <w:name w:val="annotation reference"/>
    <w:basedOn w:val="DefaultParagraphFont"/>
    <w:uiPriority w:val="99"/>
    <w:semiHidden/>
    <w:rsid w:val="00BF4E76"/>
    <w:rPr>
      <w:rFonts w:cs="Times New Roman"/>
      <w:sz w:val="16"/>
      <w:szCs w:val="16"/>
    </w:rPr>
  </w:style>
  <w:style w:type="paragraph" w:styleId="CommentText">
    <w:name w:val="annotation text"/>
    <w:basedOn w:val="Normal"/>
    <w:link w:val="CommentTextChar"/>
    <w:uiPriority w:val="99"/>
    <w:semiHidden/>
    <w:rsid w:val="00BF4E76"/>
  </w:style>
  <w:style w:type="character" w:customStyle="1" w:styleId="CommentTextChar">
    <w:name w:val="Comment Text Char"/>
    <w:basedOn w:val="DefaultParagraphFont"/>
    <w:link w:val="CommentText"/>
    <w:uiPriority w:val="99"/>
    <w:semiHidden/>
    <w:rsid w:val="005B3B2C"/>
    <w:rPr>
      <w:sz w:val="20"/>
      <w:szCs w:val="20"/>
      <w:lang w:eastAsia="en-US"/>
    </w:rPr>
  </w:style>
  <w:style w:type="paragraph" w:styleId="CommentSubject">
    <w:name w:val="annotation subject"/>
    <w:basedOn w:val="CommentText"/>
    <w:next w:val="CommentText"/>
    <w:link w:val="CommentSubjectChar"/>
    <w:uiPriority w:val="99"/>
    <w:semiHidden/>
    <w:rsid w:val="00BF4E76"/>
    <w:rPr>
      <w:b/>
      <w:bCs/>
    </w:rPr>
  </w:style>
  <w:style w:type="character" w:customStyle="1" w:styleId="CommentSubjectChar">
    <w:name w:val="Comment Subject Char"/>
    <w:basedOn w:val="CommentTextChar"/>
    <w:link w:val="CommentSubject"/>
    <w:uiPriority w:val="99"/>
    <w:semiHidden/>
    <w:rsid w:val="005B3B2C"/>
    <w:rPr>
      <w:b/>
      <w:bCs/>
      <w:sz w:val="20"/>
      <w:szCs w:val="20"/>
      <w:lang w:eastAsia="en-US"/>
    </w:rPr>
  </w:style>
  <w:style w:type="table" w:styleId="TableGrid">
    <w:name w:val="Table Grid"/>
    <w:basedOn w:val="TableNormal"/>
    <w:uiPriority w:val="59"/>
    <w:rsid w:val="000F1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F6E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32143">
      <w:bodyDiv w:val="1"/>
      <w:marLeft w:val="0"/>
      <w:marRight w:val="0"/>
      <w:marTop w:val="0"/>
      <w:marBottom w:val="0"/>
      <w:divBdr>
        <w:top w:val="none" w:sz="0" w:space="0" w:color="auto"/>
        <w:left w:val="none" w:sz="0" w:space="0" w:color="auto"/>
        <w:bottom w:val="none" w:sz="0" w:space="0" w:color="auto"/>
        <w:right w:val="none" w:sz="0" w:space="0" w:color="auto"/>
      </w:divBdr>
    </w:div>
    <w:div w:id="1315598018">
      <w:marLeft w:val="0"/>
      <w:marRight w:val="0"/>
      <w:marTop w:val="0"/>
      <w:marBottom w:val="0"/>
      <w:divBdr>
        <w:top w:val="none" w:sz="0" w:space="0" w:color="auto"/>
        <w:left w:val="none" w:sz="0" w:space="0" w:color="auto"/>
        <w:bottom w:val="none" w:sz="0" w:space="0" w:color="auto"/>
        <w:right w:val="none" w:sz="0" w:space="0" w:color="auto"/>
      </w:divBdr>
    </w:div>
    <w:div w:id="1315598019">
      <w:marLeft w:val="0"/>
      <w:marRight w:val="0"/>
      <w:marTop w:val="0"/>
      <w:marBottom w:val="0"/>
      <w:divBdr>
        <w:top w:val="none" w:sz="0" w:space="0" w:color="auto"/>
        <w:left w:val="none" w:sz="0" w:space="0" w:color="auto"/>
        <w:bottom w:val="none" w:sz="0" w:space="0" w:color="auto"/>
        <w:right w:val="none" w:sz="0" w:space="0" w:color="auto"/>
      </w:divBdr>
    </w:div>
    <w:div w:id="1315598020">
      <w:marLeft w:val="0"/>
      <w:marRight w:val="0"/>
      <w:marTop w:val="0"/>
      <w:marBottom w:val="0"/>
      <w:divBdr>
        <w:top w:val="none" w:sz="0" w:space="0" w:color="auto"/>
        <w:left w:val="none" w:sz="0" w:space="0" w:color="auto"/>
        <w:bottom w:val="none" w:sz="0" w:space="0" w:color="auto"/>
        <w:right w:val="none" w:sz="0" w:space="0" w:color="auto"/>
      </w:divBdr>
    </w:div>
    <w:div w:id="17688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gintranet/ieListDocuments.aspx?CId=183&amp;MId=3104&amp;Ver=4"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17659-34BF-4319-8532-7410D274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2048</Words>
  <Characters>11675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Annual report - template</vt:lpstr>
    </vt:vector>
  </TitlesOfParts>
  <Company>Lancashire County Council</Company>
  <LinksUpToDate>false</LinksUpToDate>
  <CharactersWithSpaces>13696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 template</dc:title>
  <dc:subject/>
  <dc:creator>Paul Cafferkey</dc:creator>
  <cp:keywords/>
  <dc:description/>
  <cp:lastModifiedBy>Mather, Chris</cp:lastModifiedBy>
  <cp:revision>2</cp:revision>
  <cp:lastPrinted>2014-05-20T12:36:00Z</cp:lastPrinted>
  <dcterms:created xsi:type="dcterms:W3CDTF">2015-05-22T15:10:00Z</dcterms:created>
  <dcterms:modified xsi:type="dcterms:W3CDTF">2015-05-22T15:10:00Z</dcterms:modified>
</cp:coreProperties>
</file>